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AB" w:rsidRDefault="00EF74AB" w:rsidP="006F5A33">
      <w:pPr>
        <w:jc w:val="center"/>
        <w:rPr>
          <w:rFonts w:ascii="Arial" w:hAnsi="Arial"/>
          <w:sz w:val="20"/>
        </w:rPr>
      </w:pPr>
    </w:p>
    <w:p w:rsidR="001B3AFE" w:rsidRDefault="00791C93" w:rsidP="006F5A33">
      <w:pPr>
        <w:jc w:val="center"/>
      </w:pPr>
      <w:bookmarkStart w:id="0" w:name="_GoBack"/>
      <w:bookmarkEnd w:id="0"/>
      <w:r>
        <w:rPr>
          <w:rFonts w:ascii="Arial" w:hAnsi="Arial"/>
          <w:noProof/>
          <w:sz w:val="20"/>
        </w:rPr>
        <w:drawing>
          <wp:inline distT="0" distB="0" distL="0" distR="0">
            <wp:extent cx="1295400" cy="6000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A33">
        <w:rPr>
          <w:rFonts w:ascii="Arial" w:hAnsi="Arial"/>
          <w:sz w:val="20"/>
        </w:rPr>
        <w:t xml:space="preserve">                                                               </w:t>
      </w:r>
      <w:r w:rsidRPr="008C7BF3">
        <w:rPr>
          <w:rFonts w:ascii="Arial" w:hAnsi="Arial"/>
          <w:noProof/>
          <w:sz w:val="20"/>
        </w:rPr>
        <w:drawing>
          <wp:inline distT="0" distB="0" distL="0" distR="0">
            <wp:extent cx="1733550" cy="485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FE" w:rsidRDefault="001B3AFE">
      <w:pPr>
        <w:jc w:val="both"/>
      </w:pPr>
    </w:p>
    <w:p w:rsidR="001B3AFE" w:rsidRDefault="001B3AFE">
      <w:pPr>
        <w:jc w:val="both"/>
      </w:pPr>
    </w:p>
    <w:p w:rsidR="001B3AFE" w:rsidRDefault="008C7BF3" w:rsidP="001F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Plateforme</w:t>
      </w:r>
      <w:r w:rsidR="001B3AFE">
        <w:rPr>
          <w:rFonts w:ascii="Arial" w:hAnsi="Arial"/>
          <w:sz w:val="48"/>
        </w:rPr>
        <w:t xml:space="preserve"> « Culture Cellulaire »</w:t>
      </w:r>
    </w:p>
    <w:p w:rsidR="001B3AFE" w:rsidRDefault="001B3AFE" w:rsidP="001F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Règlement intérieur</w:t>
      </w:r>
    </w:p>
    <w:p w:rsidR="00BE00FC" w:rsidRDefault="00BE00FC">
      <w:pPr>
        <w:jc w:val="both"/>
        <w:rPr>
          <w:b/>
          <w:u w:val="single"/>
        </w:rPr>
      </w:pPr>
    </w:p>
    <w:p w:rsidR="001B3AFE" w:rsidRDefault="001B3AFE">
      <w:pPr>
        <w:jc w:val="both"/>
        <w:rPr>
          <w:rFonts w:ascii="Arial" w:hAnsi="Arial" w:cs="Arial"/>
          <w:b/>
          <w:u w:val="single"/>
        </w:rPr>
      </w:pPr>
    </w:p>
    <w:p w:rsidR="00E56D19" w:rsidRPr="008C7BF3" w:rsidRDefault="00E56D19">
      <w:pPr>
        <w:jc w:val="both"/>
        <w:rPr>
          <w:rFonts w:ascii="Arial" w:hAnsi="Arial" w:cs="Arial"/>
          <w:b/>
          <w:u w:val="single"/>
        </w:rPr>
      </w:pPr>
    </w:p>
    <w:p w:rsidR="00E56D19" w:rsidRPr="00816C22" w:rsidRDefault="001B3AFE">
      <w:pPr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Objet</w:t>
      </w:r>
    </w:p>
    <w:p w:rsidR="00E56D19" w:rsidRPr="00816C22" w:rsidRDefault="00E56D19">
      <w:pPr>
        <w:jc w:val="both"/>
        <w:rPr>
          <w:rFonts w:ascii="Arial" w:hAnsi="Arial" w:cs="Arial"/>
          <w:b/>
          <w:u w:val="single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 présent règlement intérieur a pour objet de fixer les modalités d’utilisation et de fonctionnement des installations et équipements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 xml:space="preserve"> « Culture Cellulai</w:t>
      </w:r>
      <w:r w:rsidR="00CF1421">
        <w:rPr>
          <w:rFonts w:ascii="Arial" w:hAnsi="Arial" w:cs="Arial"/>
        </w:rPr>
        <w:t xml:space="preserve">re » </w:t>
      </w:r>
      <w:r w:rsidR="007C01F2">
        <w:rPr>
          <w:rFonts w:ascii="Arial" w:hAnsi="Arial" w:cs="Arial"/>
        </w:rPr>
        <w:t>(</w:t>
      </w:r>
      <w:r w:rsidR="007C01F2" w:rsidRPr="0042231A">
        <w:rPr>
          <w:rFonts w:ascii="Arial" w:hAnsi="Arial" w:cs="Arial"/>
        </w:rPr>
        <w:t xml:space="preserve">ou PCC) </w:t>
      </w:r>
      <w:r w:rsidR="00CF1421" w:rsidRPr="0042231A">
        <w:rPr>
          <w:rFonts w:ascii="Arial" w:hAnsi="Arial" w:cs="Arial"/>
        </w:rPr>
        <w:t>rassemblant les unités</w:t>
      </w:r>
      <w:r w:rsidR="00040C39" w:rsidRPr="0042231A">
        <w:rPr>
          <w:rFonts w:ascii="Arial" w:hAnsi="Arial" w:cs="Arial"/>
        </w:rPr>
        <w:t xml:space="preserve"> </w:t>
      </w:r>
      <w:r w:rsidRPr="0042231A">
        <w:rPr>
          <w:rFonts w:ascii="Arial" w:hAnsi="Arial" w:cs="Arial"/>
        </w:rPr>
        <w:t>U</w:t>
      </w:r>
      <w:r w:rsidR="00CF570D" w:rsidRPr="0042231A">
        <w:rPr>
          <w:rFonts w:ascii="Arial" w:hAnsi="Arial" w:cs="Arial"/>
        </w:rPr>
        <w:t>1067</w:t>
      </w:r>
      <w:r w:rsidRPr="0042231A">
        <w:rPr>
          <w:rFonts w:ascii="Arial" w:hAnsi="Arial" w:cs="Arial"/>
        </w:rPr>
        <w:t>, U</w:t>
      </w:r>
      <w:r w:rsidR="006F5A33" w:rsidRPr="0042231A">
        <w:rPr>
          <w:rFonts w:ascii="Arial" w:hAnsi="Arial" w:cs="Arial"/>
        </w:rPr>
        <w:t>1068</w:t>
      </w:r>
      <w:r w:rsidRPr="0042231A">
        <w:rPr>
          <w:rFonts w:ascii="Arial" w:hAnsi="Arial" w:cs="Arial"/>
        </w:rPr>
        <w:t>,</w:t>
      </w:r>
      <w:r w:rsidR="008C7BF3" w:rsidRPr="0042231A">
        <w:rPr>
          <w:rFonts w:ascii="Arial" w:hAnsi="Arial" w:cs="Arial"/>
        </w:rPr>
        <w:t xml:space="preserve"> U</w:t>
      </w:r>
      <w:r w:rsidR="00CF570D" w:rsidRPr="0042231A">
        <w:rPr>
          <w:rFonts w:ascii="Arial" w:hAnsi="Arial" w:cs="Arial"/>
        </w:rPr>
        <w:t>1090</w:t>
      </w:r>
      <w:r w:rsidR="008C7BF3" w:rsidRPr="0042231A">
        <w:rPr>
          <w:rFonts w:ascii="Arial" w:hAnsi="Arial" w:cs="Arial"/>
        </w:rPr>
        <w:t>, U</w:t>
      </w:r>
      <w:r w:rsidR="00CF570D" w:rsidRPr="0042231A">
        <w:rPr>
          <w:rFonts w:ascii="Arial" w:hAnsi="Arial" w:cs="Arial"/>
        </w:rPr>
        <w:t>1097</w:t>
      </w:r>
      <w:r w:rsidRPr="0042231A">
        <w:rPr>
          <w:rFonts w:ascii="Arial" w:hAnsi="Arial" w:cs="Arial"/>
        </w:rPr>
        <w:t xml:space="preserve"> de l’INSERM. Cette </w:t>
      </w:r>
      <w:r w:rsidR="008C7BF3" w:rsidRPr="0042231A">
        <w:rPr>
          <w:rFonts w:ascii="Arial" w:hAnsi="Arial" w:cs="Arial"/>
        </w:rPr>
        <w:t>plateform</w:t>
      </w:r>
      <w:r w:rsidR="008C7BF3" w:rsidRPr="00816C22">
        <w:rPr>
          <w:rFonts w:ascii="Arial" w:hAnsi="Arial" w:cs="Arial"/>
        </w:rPr>
        <w:t>e</w:t>
      </w:r>
      <w:r w:rsidRPr="00816C22">
        <w:rPr>
          <w:rFonts w:ascii="Arial" w:hAnsi="Arial" w:cs="Arial"/>
        </w:rPr>
        <w:t xml:space="preserve"> sera ouverte aux nouvelles équipes intégrées dans le bâtiment.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Ce règlement a été approuvé et signé par les Directeurs des formations de recherche concernées, après accord de l’Administration Déléguée Régionale conformément à l’application des mesures d’hygiène et sécurité et à la gestion du patrimoine immobilier de l’INSERM.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Toute personne ayant accès à la </w:t>
      </w:r>
      <w:r w:rsidR="007C01F2">
        <w:rPr>
          <w:rFonts w:ascii="Arial" w:hAnsi="Arial" w:cs="Arial"/>
        </w:rPr>
        <w:t xml:space="preserve">PCC </w:t>
      </w:r>
      <w:r w:rsidRPr="00816C22">
        <w:rPr>
          <w:rFonts w:ascii="Arial" w:hAnsi="Arial" w:cs="Arial"/>
        </w:rPr>
        <w:t>doit avoir préalablement pris connaissance du présent règlement intérieur, et s’engage par écrit à en respecter tous les termes.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pStyle w:val="Corpsdetexte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L’application de ce règlement intérieur est contrôlée par un responsable, membre d’une des Unités utilisatrices, qui organise également le fonctionnement de la </w:t>
      </w:r>
      <w:r w:rsidR="007C01F2">
        <w:rPr>
          <w:rFonts w:ascii="Arial" w:hAnsi="Arial" w:cs="Arial"/>
        </w:rPr>
        <w:t xml:space="preserve">PCC </w:t>
      </w:r>
      <w:r w:rsidRPr="00816C22">
        <w:rPr>
          <w:rFonts w:ascii="Arial" w:hAnsi="Arial" w:cs="Arial"/>
        </w:rPr>
        <w:t>avec l’approbation et le soutien des Directeurs des Unités concernées.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Locaux et installations concernés</w:t>
      </w:r>
    </w:p>
    <w:p w:rsidR="00E56D19" w:rsidRPr="00816C22" w:rsidRDefault="00E56D19">
      <w:pPr>
        <w:jc w:val="both"/>
        <w:rPr>
          <w:rFonts w:ascii="Arial" w:hAnsi="Arial" w:cs="Arial"/>
        </w:rPr>
      </w:pPr>
    </w:p>
    <w:p w:rsidR="001B3AFE" w:rsidRPr="0042231A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</w:t>
      </w:r>
      <w:r w:rsidR="007C01F2">
        <w:rPr>
          <w:rFonts w:ascii="Arial" w:hAnsi="Arial" w:cs="Arial"/>
        </w:rPr>
        <w:t xml:space="preserve">PCC </w:t>
      </w:r>
      <w:r w:rsidRPr="00816C22">
        <w:rPr>
          <w:rFonts w:ascii="Arial" w:hAnsi="Arial" w:cs="Arial"/>
        </w:rPr>
        <w:t xml:space="preserve">comporte </w:t>
      </w:r>
      <w:r w:rsidR="00461865" w:rsidRPr="00816C22">
        <w:rPr>
          <w:rFonts w:ascii="Arial" w:hAnsi="Arial" w:cs="Arial"/>
        </w:rPr>
        <w:t>4</w:t>
      </w:r>
      <w:r w:rsidRPr="00816C22">
        <w:rPr>
          <w:rFonts w:ascii="Arial" w:hAnsi="Arial" w:cs="Arial"/>
        </w:rPr>
        <w:t xml:space="preserve"> pièces de culture de confinement de type L2 (pièces 219, 207</w:t>
      </w:r>
      <w:r w:rsidR="00461865" w:rsidRPr="00816C22">
        <w:rPr>
          <w:rFonts w:ascii="Arial" w:hAnsi="Arial" w:cs="Arial"/>
        </w:rPr>
        <w:t>, 208, 209),</w:t>
      </w:r>
      <w:r w:rsidRPr="00816C22">
        <w:rPr>
          <w:rFonts w:ascii="Arial" w:hAnsi="Arial" w:cs="Arial"/>
        </w:rPr>
        <w:t xml:space="preserve"> un local technique (pièce laverie 217)</w:t>
      </w:r>
      <w:r w:rsidR="006F5A33" w:rsidRPr="00816C22">
        <w:rPr>
          <w:rFonts w:ascii="Arial" w:hAnsi="Arial" w:cs="Arial"/>
        </w:rPr>
        <w:t>, un laboratoire (pièce 21</w:t>
      </w:r>
      <w:r w:rsidR="008C7BF3" w:rsidRPr="00816C22">
        <w:rPr>
          <w:rFonts w:ascii="Arial" w:hAnsi="Arial" w:cs="Arial"/>
        </w:rPr>
        <w:t>6)</w:t>
      </w:r>
      <w:r w:rsidR="006F5A33" w:rsidRPr="00816C22">
        <w:rPr>
          <w:rFonts w:ascii="Arial" w:hAnsi="Arial" w:cs="Arial"/>
        </w:rPr>
        <w:t>, un bureau</w:t>
      </w:r>
      <w:r w:rsidR="00032D53" w:rsidRPr="00816C22">
        <w:rPr>
          <w:rFonts w:ascii="Arial" w:hAnsi="Arial" w:cs="Arial"/>
        </w:rPr>
        <w:t>-laboratoire</w:t>
      </w:r>
      <w:r w:rsidR="006F5A33" w:rsidRPr="00816C22">
        <w:rPr>
          <w:rFonts w:ascii="Arial" w:hAnsi="Arial" w:cs="Arial"/>
        </w:rPr>
        <w:t xml:space="preserve"> (pièce 206)</w:t>
      </w:r>
      <w:r w:rsidRPr="00816C22">
        <w:rPr>
          <w:rFonts w:ascii="Arial" w:hAnsi="Arial" w:cs="Arial"/>
        </w:rPr>
        <w:t xml:space="preserve"> et les circulations attenantes, situées dans le bâtiment TPR2, Bloc 6</w:t>
      </w:r>
      <w:r w:rsidR="0042231A" w:rsidRPr="0042231A">
        <w:rPr>
          <w:rFonts w:ascii="Arial" w:hAnsi="Arial" w:cs="Arial"/>
        </w:rPr>
        <w:t>,</w:t>
      </w:r>
      <w:r w:rsidRPr="0042231A">
        <w:rPr>
          <w:rFonts w:ascii="Arial" w:hAnsi="Arial" w:cs="Arial"/>
        </w:rPr>
        <w:t xml:space="preserve"> </w:t>
      </w:r>
      <w:r w:rsidR="007C01F2" w:rsidRPr="0042231A">
        <w:rPr>
          <w:rFonts w:ascii="Arial" w:hAnsi="Arial" w:cs="Arial"/>
        </w:rPr>
        <w:t>entrée B, niveau 3</w:t>
      </w:r>
      <w:r w:rsidRPr="0042231A">
        <w:rPr>
          <w:rFonts w:ascii="Arial" w:hAnsi="Arial" w:cs="Arial"/>
        </w:rPr>
        <w:t>, à Luminy.</w:t>
      </w:r>
      <w:r w:rsidR="007C01F2" w:rsidRPr="0042231A">
        <w:rPr>
          <w:rFonts w:ascii="Arial" w:hAnsi="Arial" w:cs="Arial"/>
        </w:rPr>
        <w:t xml:space="preserve"> 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6F5A33" w:rsidP="00032D53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structure est divisée en </w:t>
      </w:r>
      <w:r w:rsidR="007C01F2" w:rsidRPr="0042231A">
        <w:rPr>
          <w:rFonts w:ascii="Arial" w:hAnsi="Arial" w:cs="Arial"/>
        </w:rPr>
        <w:t>3</w:t>
      </w:r>
      <w:r w:rsidR="001B3AFE" w:rsidRPr="0042231A">
        <w:rPr>
          <w:rFonts w:ascii="Arial" w:hAnsi="Arial" w:cs="Arial"/>
        </w:rPr>
        <w:t xml:space="preserve"> zones</w:t>
      </w:r>
      <w:r w:rsidR="001B3AFE" w:rsidRPr="00816C22">
        <w:rPr>
          <w:rFonts w:ascii="Arial" w:hAnsi="Arial" w:cs="Arial"/>
        </w:rPr>
        <w:t xml:space="preserve"> de travail, affectées en fonction des exigences techniques des manipulations : </w:t>
      </w:r>
    </w:p>
    <w:p w:rsidR="001B3AFE" w:rsidRPr="00816C22" w:rsidRDefault="00032D5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ab/>
        <w:t>1</w:t>
      </w:r>
      <w:r w:rsidR="001B3AFE" w:rsidRPr="00816C22">
        <w:rPr>
          <w:rFonts w:ascii="Arial" w:hAnsi="Arial" w:cs="Arial"/>
        </w:rPr>
        <w:t xml:space="preserve">/ entretien </w:t>
      </w:r>
      <w:r w:rsidRPr="00816C22">
        <w:rPr>
          <w:rFonts w:ascii="Arial" w:hAnsi="Arial" w:cs="Arial"/>
        </w:rPr>
        <w:t xml:space="preserve">et manipulation </w:t>
      </w:r>
      <w:r w:rsidR="001B3AFE" w:rsidRPr="00816C22">
        <w:rPr>
          <w:rFonts w:ascii="Arial" w:hAnsi="Arial" w:cs="Arial"/>
        </w:rPr>
        <w:t xml:space="preserve">de lignées cellulaires continues </w:t>
      </w:r>
      <w:r w:rsidR="006F5A33" w:rsidRPr="00816C22">
        <w:rPr>
          <w:rFonts w:ascii="Arial" w:hAnsi="Arial" w:cs="Arial"/>
        </w:rPr>
        <w:t xml:space="preserve">et de tissus humains </w:t>
      </w:r>
      <w:r w:rsidRPr="00816C22">
        <w:rPr>
          <w:rFonts w:ascii="Arial" w:hAnsi="Arial" w:cs="Arial"/>
        </w:rPr>
        <w:t>en e</w:t>
      </w:r>
      <w:r w:rsidR="00CF1421">
        <w:rPr>
          <w:rFonts w:ascii="Arial" w:hAnsi="Arial" w:cs="Arial"/>
        </w:rPr>
        <w:t>nvironnement confiné (pièces</w:t>
      </w:r>
      <w:r w:rsidR="001B3AFE" w:rsidRPr="00816C22">
        <w:rPr>
          <w:rFonts w:ascii="Arial" w:hAnsi="Arial" w:cs="Arial"/>
        </w:rPr>
        <w:t xml:space="preserve"> 208</w:t>
      </w:r>
      <w:r w:rsidRPr="00816C22">
        <w:rPr>
          <w:rFonts w:ascii="Arial" w:hAnsi="Arial" w:cs="Arial"/>
        </w:rPr>
        <w:t>, 209 et 219</w:t>
      </w:r>
      <w:r w:rsidR="001B3AFE" w:rsidRPr="00816C22">
        <w:rPr>
          <w:rFonts w:ascii="Arial" w:hAnsi="Arial" w:cs="Arial"/>
        </w:rPr>
        <w:t>)</w:t>
      </w:r>
    </w:p>
    <w:p w:rsidR="00CF1421" w:rsidRDefault="001F0E4D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ab/>
        <w:t>2</w:t>
      </w:r>
      <w:r w:rsidR="001B3AFE" w:rsidRPr="00816C22">
        <w:rPr>
          <w:rFonts w:ascii="Arial" w:hAnsi="Arial" w:cs="Arial"/>
        </w:rPr>
        <w:t xml:space="preserve">/ </w:t>
      </w:r>
      <w:r w:rsidR="00CF1421">
        <w:rPr>
          <w:rFonts w:ascii="Arial" w:hAnsi="Arial" w:cs="Arial"/>
        </w:rPr>
        <w:t xml:space="preserve">laboratoire confiné pour du tri cellulaire (trieur </w:t>
      </w:r>
      <w:proofErr w:type="spellStart"/>
      <w:r w:rsidR="00CF1421">
        <w:rPr>
          <w:rFonts w:ascii="Arial" w:hAnsi="Arial" w:cs="Arial"/>
        </w:rPr>
        <w:t>autonome_Melody</w:t>
      </w:r>
      <w:proofErr w:type="spellEnd"/>
      <w:r w:rsidR="007C01F2">
        <w:rPr>
          <w:rFonts w:ascii="Arial" w:hAnsi="Arial" w:cs="Arial"/>
        </w:rPr>
        <w:t xml:space="preserve"> </w:t>
      </w:r>
      <w:r w:rsidR="007C01F2" w:rsidRPr="0042231A">
        <w:rPr>
          <w:rFonts w:ascii="Arial" w:hAnsi="Arial" w:cs="Arial"/>
        </w:rPr>
        <w:t xml:space="preserve">et </w:t>
      </w:r>
      <w:proofErr w:type="spellStart"/>
      <w:r w:rsidR="007C01F2" w:rsidRPr="0042231A">
        <w:rPr>
          <w:rFonts w:ascii="Arial" w:hAnsi="Arial" w:cs="Arial"/>
        </w:rPr>
        <w:t>AutoMACS</w:t>
      </w:r>
      <w:proofErr w:type="spellEnd"/>
      <w:r w:rsidR="007C01F2" w:rsidRPr="0042231A">
        <w:rPr>
          <w:rFonts w:ascii="Arial" w:hAnsi="Arial" w:cs="Arial"/>
        </w:rPr>
        <w:t xml:space="preserve"> pro,</w:t>
      </w:r>
      <w:r w:rsidR="00CF1421">
        <w:rPr>
          <w:rFonts w:ascii="Arial" w:hAnsi="Arial" w:cs="Arial"/>
        </w:rPr>
        <w:t xml:space="preserve"> pièce P207)</w:t>
      </w:r>
    </w:p>
    <w:p w:rsidR="001B3AFE" w:rsidRPr="00816C22" w:rsidRDefault="00CF1421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3/ </w:t>
      </w:r>
      <w:r w:rsidRPr="00816C22">
        <w:rPr>
          <w:rFonts w:ascii="Arial" w:hAnsi="Arial" w:cs="Arial"/>
        </w:rPr>
        <w:t>analyse des cultures cellulaires (pièces 206 et 216)</w:t>
      </w:r>
      <w:r w:rsidR="001B3AFE" w:rsidRPr="00816C22">
        <w:rPr>
          <w:rFonts w:ascii="Arial" w:hAnsi="Arial" w:cs="Arial"/>
        </w:rPr>
        <w:t>.</w:t>
      </w:r>
    </w:p>
    <w:p w:rsidR="008C7BF3" w:rsidRPr="00816C22" w:rsidRDefault="008C7BF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L’affectation de ces zones pourra évoluer en fonction des besoins, tout changement étant soumis à l’approbation des Directeurs des Unités utilisatrices.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Il n’y a pas d’espace spécifiquement « </w:t>
      </w:r>
      <w:proofErr w:type="spellStart"/>
      <w:r w:rsidRPr="00816C22">
        <w:rPr>
          <w:rFonts w:ascii="Arial" w:hAnsi="Arial" w:cs="Arial"/>
          <w:i/>
        </w:rPr>
        <w:t>mycoplasma</w:t>
      </w:r>
      <w:proofErr w:type="spellEnd"/>
      <w:r w:rsidRPr="00816C22">
        <w:rPr>
          <w:rFonts w:ascii="Arial" w:hAnsi="Arial" w:cs="Arial"/>
          <w:i/>
        </w:rPr>
        <w:t xml:space="preserve"> free</w:t>
      </w:r>
      <w:r w:rsidRPr="00816C22">
        <w:rPr>
          <w:rFonts w:ascii="Arial" w:hAnsi="Arial" w:cs="Arial"/>
        </w:rPr>
        <w:t xml:space="preserve"> ». Les expérimentateurs doivent </w:t>
      </w:r>
      <w:r w:rsidR="00032D53" w:rsidRPr="00816C22">
        <w:rPr>
          <w:rFonts w:ascii="Arial" w:hAnsi="Arial" w:cs="Arial"/>
        </w:rPr>
        <w:t xml:space="preserve">faire </w:t>
      </w:r>
      <w:r w:rsidRPr="00816C22">
        <w:rPr>
          <w:rFonts w:ascii="Arial" w:hAnsi="Arial" w:cs="Arial"/>
        </w:rPr>
        <w:t xml:space="preserve">contrôler préalablement (test de recherche de mycoplasmes, recherche de </w:t>
      </w:r>
      <w:r w:rsidRPr="00816C22">
        <w:rPr>
          <w:rFonts w:ascii="Arial" w:hAnsi="Arial" w:cs="Arial"/>
        </w:rPr>
        <w:lastRenderedPageBreak/>
        <w:t xml:space="preserve">contamination latente par mise en culture sans </w:t>
      </w:r>
      <w:r w:rsidR="001F0E4D" w:rsidRPr="00816C22">
        <w:rPr>
          <w:rFonts w:ascii="Arial" w:hAnsi="Arial" w:cs="Arial"/>
        </w:rPr>
        <w:t xml:space="preserve">antibiotique, </w:t>
      </w:r>
      <w:proofErr w:type="spellStart"/>
      <w:r w:rsidR="001F0E4D" w:rsidRPr="00816C22">
        <w:rPr>
          <w:rFonts w:ascii="Arial" w:hAnsi="Arial" w:cs="Arial"/>
        </w:rPr>
        <w:t>etc</w:t>
      </w:r>
      <w:proofErr w:type="spellEnd"/>
      <w:r w:rsidR="001F0E4D" w:rsidRPr="00816C22">
        <w:rPr>
          <w:rFonts w:ascii="Arial" w:hAnsi="Arial" w:cs="Arial"/>
        </w:rPr>
        <w:t>) et maintenir</w:t>
      </w:r>
      <w:r w:rsidRPr="00816C22">
        <w:rPr>
          <w:rFonts w:ascii="Arial" w:hAnsi="Arial" w:cs="Arial"/>
        </w:rPr>
        <w:t xml:space="preserve"> la qualité des produits biologiques utilisés au sein de la structure, afin d’éviter toute contamination par des agents biologiques.</w:t>
      </w:r>
    </w:p>
    <w:p w:rsidR="001B3AFE" w:rsidRPr="0042231A" w:rsidRDefault="007C01F2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42231A">
        <w:rPr>
          <w:rFonts w:ascii="Arial" w:hAnsi="Arial" w:cs="Arial"/>
        </w:rPr>
        <w:t>Ce contrôle, réalisé une fois par mois, est obligatoire pour le suivi de toutes les cultures réalisées sur la plateforme.</w:t>
      </w:r>
    </w:p>
    <w:p w:rsidR="00AC16A6" w:rsidRPr="00816C22" w:rsidRDefault="00AC16A6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Accès aux laboratoires de culture cellulaire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Toutes les Unités de recherche installées dans le bâtiment</w:t>
      </w:r>
      <w:r w:rsidR="0042231A">
        <w:rPr>
          <w:rFonts w:ascii="Arial" w:hAnsi="Arial" w:cs="Arial"/>
        </w:rPr>
        <w:t xml:space="preserve"> </w:t>
      </w:r>
      <w:r w:rsidRPr="00816C22">
        <w:rPr>
          <w:rFonts w:ascii="Arial" w:hAnsi="Arial" w:cs="Arial"/>
        </w:rPr>
        <w:t xml:space="preserve">ont accès à tous les équipements des zones de travail de la </w:t>
      </w:r>
      <w:r w:rsidR="007C01F2">
        <w:rPr>
          <w:rFonts w:ascii="Arial" w:hAnsi="Arial" w:cs="Arial"/>
        </w:rPr>
        <w:t xml:space="preserve">PCC. </w:t>
      </w:r>
      <w:r w:rsidR="0042231A">
        <w:rPr>
          <w:rFonts w:ascii="Arial" w:hAnsi="Arial" w:cs="Arial"/>
        </w:rPr>
        <w:t>D</w:t>
      </w:r>
      <w:r w:rsidR="00CF570D" w:rsidRPr="00816C22">
        <w:rPr>
          <w:rFonts w:ascii="Arial" w:hAnsi="Arial" w:cs="Arial"/>
        </w:rPr>
        <w:t>es collaborateurs extérieurs peuvent</w:t>
      </w:r>
      <w:r w:rsidR="007C01F2">
        <w:rPr>
          <w:rFonts w:ascii="Arial" w:hAnsi="Arial" w:cs="Arial"/>
        </w:rPr>
        <w:t xml:space="preserve"> </w:t>
      </w:r>
      <w:r w:rsidR="007C01F2" w:rsidRPr="0042231A">
        <w:rPr>
          <w:rFonts w:ascii="Arial" w:hAnsi="Arial" w:cs="Arial"/>
        </w:rPr>
        <w:t>également</w:t>
      </w:r>
      <w:r w:rsidR="00CF570D" w:rsidRPr="0042231A">
        <w:rPr>
          <w:rFonts w:ascii="Arial" w:hAnsi="Arial" w:cs="Arial"/>
        </w:rPr>
        <w:t xml:space="preserve"> </w:t>
      </w:r>
      <w:r w:rsidR="00CF570D" w:rsidRPr="00816C22">
        <w:rPr>
          <w:rFonts w:ascii="Arial" w:hAnsi="Arial" w:cs="Arial"/>
        </w:rPr>
        <w:t>utiliser la structure.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L’accès aux locaux est restreint par un </w:t>
      </w:r>
      <w:r w:rsidR="00032D53" w:rsidRPr="00816C22">
        <w:rPr>
          <w:rFonts w:ascii="Arial" w:hAnsi="Arial" w:cs="Arial"/>
        </w:rPr>
        <w:t xml:space="preserve">lecteur de badges. Les badges </w:t>
      </w:r>
      <w:r w:rsidR="001A09B5" w:rsidRPr="00816C22">
        <w:rPr>
          <w:rFonts w:ascii="Arial" w:hAnsi="Arial" w:cs="Arial"/>
        </w:rPr>
        <w:t xml:space="preserve">sont attribués </w:t>
      </w:r>
      <w:r w:rsidRPr="00816C22">
        <w:rPr>
          <w:rFonts w:ascii="Arial" w:hAnsi="Arial" w:cs="Arial"/>
        </w:rPr>
        <w:t>aux personnels habilités à travailler dans les laboratoires de culture cellulaire</w:t>
      </w:r>
      <w:r w:rsidR="001A09B5" w:rsidRPr="00816C22">
        <w:rPr>
          <w:rFonts w:ascii="Arial" w:hAnsi="Arial" w:cs="Arial"/>
        </w:rPr>
        <w:t>, et sont strictement personnels</w:t>
      </w:r>
      <w:r w:rsidRPr="00816C22">
        <w:rPr>
          <w:rFonts w:ascii="Arial" w:hAnsi="Arial" w:cs="Arial"/>
        </w:rPr>
        <w:t>.</w:t>
      </w:r>
    </w:p>
    <w:p w:rsidR="001B3AFE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6C6532" w:rsidRPr="0042231A" w:rsidRDefault="006C6532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42231A">
        <w:rPr>
          <w:rFonts w:ascii="Arial" w:hAnsi="Arial" w:cs="Arial"/>
        </w:rPr>
        <w:t>Pour être habilité, le personnel doit avoir suivi la formation théorique aux bonnes pratiques de culture cellulaire, dispensée par la personne responsable de la PCC.</w:t>
      </w:r>
    </w:p>
    <w:p w:rsidR="006C6532" w:rsidRPr="00816C22" w:rsidRDefault="006C6532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Chaque Unité est représentée par un</w:t>
      </w:r>
      <w:r w:rsidR="002A629B">
        <w:rPr>
          <w:rFonts w:ascii="Arial" w:hAnsi="Arial" w:cs="Arial"/>
        </w:rPr>
        <w:t xml:space="preserve"> ou deux</w:t>
      </w:r>
      <w:r w:rsidRPr="00816C22">
        <w:rPr>
          <w:rFonts w:ascii="Arial" w:hAnsi="Arial" w:cs="Arial"/>
        </w:rPr>
        <w:t xml:space="preserve"> correspondant</w:t>
      </w:r>
      <w:r w:rsidR="002A629B">
        <w:rPr>
          <w:rFonts w:ascii="Arial" w:hAnsi="Arial" w:cs="Arial"/>
        </w:rPr>
        <w:t>s qui assurent le relais entre leur unité respective et la PCC.</w:t>
      </w:r>
    </w:p>
    <w:p w:rsidR="00BE00FC" w:rsidRPr="00816C22" w:rsidRDefault="00BE00FC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</w:p>
    <w:p w:rsidR="00BE00FC" w:rsidRPr="00816C22" w:rsidRDefault="001B3AFE" w:rsidP="00BE00FC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  <w:r w:rsidRPr="00816C22">
        <w:rPr>
          <w:rFonts w:ascii="Arial" w:hAnsi="Arial" w:cs="Arial"/>
        </w:rPr>
        <w:t>Les personnels habilités connaissent le présent règlement.</w:t>
      </w:r>
      <w:r w:rsidR="00BE00FC" w:rsidRPr="00816C22">
        <w:rPr>
          <w:rFonts w:ascii="Arial" w:hAnsi="Arial" w:cs="Arial"/>
        </w:rPr>
        <w:t xml:space="preserve"> Ils s'engagent à respecter les procédures d’utilisation des L2.</w:t>
      </w:r>
    </w:p>
    <w:p w:rsidR="00BE00FC" w:rsidRPr="00816C22" w:rsidRDefault="00BE00FC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</w:p>
    <w:p w:rsidR="001B3AFE" w:rsidRPr="00816C22" w:rsidRDefault="001B3AFE">
      <w:pPr>
        <w:pStyle w:val="Corpsdetexte"/>
        <w:tabs>
          <w:tab w:val="left" w:pos="540"/>
          <w:tab w:val="left" w:pos="1620"/>
          <w:tab w:val="left" w:pos="4320"/>
          <w:tab w:val="left" w:pos="5400"/>
        </w:tabs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Tout nouvel utilisateur des équipements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 xml:space="preserve"> est présenté par un tuteur </w:t>
      </w:r>
      <w:r w:rsidR="002A629B">
        <w:rPr>
          <w:rFonts w:ascii="Arial" w:hAnsi="Arial" w:cs="Arial"/>
        </w:rPr>
        <w:t xml:space="preserve">au responsable de la PCC. </w:t>
      </w:r>
      <w:r w:rsidRPr="00816C22">
        <w:rPr>
          <w:rFonts w:ascii="Arial" w:hAnsi="Arial" w:cs="Arial"/>
        </w:rPr>
        <w:t>Ce tuteur est une personne figurant déjà sur la liste des personnels habilités, ou le Directeur d’une des Unités utilisatrices.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AC16A6" w:rsidRPr="00816C22" w:rsidRDefault="00AC16A6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u w:val="single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u w:val="single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bCs/>
          <w:iCs/>
          <w:szCs w:val="28"/>
          <w:u w:val="single"/>
        </w:rPr>
      </w:pPr>
      <w:r w:rsidRPr="00816C22">
        <w:rPr>
          <w:rFonts w:ascii="Arial" w:hAnsi="Arial" w:cs="Arial"/>
          <w:b/>
          <w:bCs/>
          <w:iCs/>
          <w:szCs w:val="28"/>
          <w:u w:val="single"/>
        </w:rPr>
        <w:t>E</w:t>
      </w:r>
      <w:r w:rsidR="00BE00FC" w:rsidRPr="00816C22">
        <w:rPr>
          <w:rFonts w:ascii="Arial" w:hAnsi="Arial" w:cs="Arial"/>
          <w:b/>
          <w:bCs/>
          <w:iCs/>
          <w:szCs w:val="28"/>
          <w:u w:val="single"/>
        </w:rPr>
        <w:t>xamen d'un projet expérimental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bCs/>
          <w:iCs/>
          <w:color w:val="0000FF"/>
          <w:szCs w:val="28"/>
          <w:u w:val="single"/>
        </w:rPr>
      </w:pPr>
    </w:p>
    <w:p w:rsidR="00C246C6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Les projets expérimentaux déposés auprès du </w:t>
      </w:r>
      <w:r w:rsidR="002A629B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 xml:space="preserve"> seront rédigés </w:t>
      </w:r>
      <w:r w:rsidR="002A629B">
        <w:rPr>
          <w:rFonts w:ascii="Arial" w:hAnsi="Arial" w:cs="Arial"/>
        </w:rPr>
        <w:t xml:space="preserve">selon la </w:t>
      </w:r>
      <w:r w:rsidR="002A629B" w:rsidRPr="00282C8D">
        <w:rPr>
          <w:rFonts w:ascii="Arial" w:hAnsi="Arial" w:cs="Arial"/>
        </w:rPr>
        <w:t>fiche</w:t>
      </w:r>
      <w:r w:rsidRPr="00282C8D">
        <w:rPr>
          <w:rFonts w:ascii="Arial" w:hAnsi="Arial" w:cs="Arial"/>
        </w:rPr>
        <w:t xml:space="preserve"> “ </w:t>
      </w:r>
      <w:r w:rsidR="00282C8D" w:rsidRPr="00282C8D">
        <w:rPr>
          <w:rFonts w:ascii="Arial" w:hAnsi="Arial" w:cs="Arial"/>
        </w:rPr>
        <w:t>projet expérimental</w:t>
      </w:r>
      <w:r w:rsidRPr="00282C8D">
        <w:rPr>
          <w:rFonts w:ascii="Arial" w:hAnsi="Arial" w:cs="Arial"/>
        </w:rPr>
        <w:t>”</w:t>
      </w:r>
      <w:r w:rsidR="0042231A" w:rsidRPr="00282C8D">
        <w:rPr>
          <w:rFonts w:ascii="Arial" w:hAnsi="Arial" w:cs="Arial"/>
        </w:rPr>
        <w:t xml:space="preserve"> (voir annexe)</w:t>
      </w:r>
      <w:r w:rsidR="00C246C6">
        <w:rPr>
          <w:rFonts w:ascii="Arial" w:hAnsi="Arial" w:cs="Arial"/>
        </w:rPr>
        <w:t xml:space="preserve"> par l’expérimentateur. </w:t>
      </w:r>
    </w:p>
    <w:p w:rsidR="001B3AFE" w:rsidRDefault="00C24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faisabilité de ce projet sur la plateforme dans un environnement L2 tel que défini par </w:t>
      </w:r>
      <w:r w:rsidR="00DA0AEB" w:rsidRPr="00DA0AEB">
        <w:rPr>
          <w:rFonts w:ascii="Arial" w:hAnsi="Arial" w:cs="Arial"/>
        </w:rPr>
        <w:t>le Haut Conseil des Biotechnologies</w:t>
      </w:r>
      <w:r w:rsidR="00DA0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sera analysée et validée par le responsable de la PCC. La fiche sera ensuite signée par le directeur d’unité.</w:t>
      </w:r>
    </w:p>
    <w:p w:rsidR="00C246C6" w:rsidRPr="00282C8D" w:rsidRDefault="00C246C6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Pour la manipulation d'OGM, </w:t>
      </w:r>
      <w:r w:rsidR="002A629B">
        <w:rPr>
          <w:rFonts w:ascii="Arial" w:hAnsi="Arial" w:cs="Arial"/>
        </w:rPr>
        <w:t xml:space="preserve">chaque unité doit s’assurer que son agrément est à jour. </w:t>
      </w:r>
    </w:p>
    <w:p w:rsidR="00AC16A6" w:rsidRPr="00816C22" w:rsidRDefault="00AC16A6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Horaires de fonctionnement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6C653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</w:t>
      </w:r>
      <w:r w:rsidR="007C01F2">
        <w:rPr>
          <w:rFonts w:ascii="Arial" w:hAnsi="Arial" w:cs="Arial"/>
        </w:rPr>
        <w:t xml:space="preserve">PCC </w:t>
      </w:r>
      <w:r w:rsidRPr="00816C22">
        <w:rPr>
          <w:rFonts w:ascii="Arial" w:hAnsi="Arial" w:cs="Arial"/>
        </w:rPr>
        <w:t xml:space="preserve">est accessible aux personnels habilités, aux horaires définis </w:t>
      </w:r>
      <w:r w:rsidR="006C6532">
        <w:rPr>
          <w:rFonts w:ascii="Arial" w:hAnsi="Arial" w:cs="Arial"/>
        </w:rPr>
        <w:t>ci-dessous :</w:t>
      </w:r>
    </w:p>
    <w:p w:rsidR="006C6532" w:rsidRPr="0042231A" w:rsidRDefault="006C6532" w:rsidP="00461865">
      <w:pPr>
        <w:jc w:val="both"/>
        <w:rPr>
          <w:rFonts w:ascii="Arial" w:hAnsi="Arial" w:cs="Arial"/>
        </w:rPr>
      </w:pPr>
      <w:r w:rsidRPr="0042231A">
        <w:rPr>
          <w:rFonts w:ascii="Arial" w:hAnsi="Arial" w:cs="Arial"/>
        </w:rPr>
        <w:t>- 8h-18h du Lun au Ven : pour les stagiaires</w:t>
      </w:r>
    </w:p>
    <w:p w:rsidR="006C6532" w:rsidRPr="0042231A" w:rsidRDefault="006C6532" w:rsidP="00461865">
      <w:pPr>
        <w:jc w:val="both"/>
        <w:rPr>
          <w:rFonts w:ascii="Arial" w:hAnsi="Arial" w:cs="Arial"/>
        </w:rPr>
      </w:pPr>
      <w:r w:rsidRPr="0042231A">
        <w:rPr>
          <w:rFonts w:ascii="Arial" w:hAnsi="Arial" w:cs="Arial"/>
        </w:rPr>
        <w:t>- 7h30-</w:t>
      </w:r>
      <w:r w:rsidR="00753179" w:rsidRPr="0042231A">
        <w:rPr>
          <w:rFonts w:ascii="Arial" w:hAnsi="Arial" w:cs="Arial"/>
        </w:rPr>
        <w:t>19h30</w:t>
      </w:r>
      <w:r w:rsidRPr="0042231A">
        <w:rPr>
          <w:rFonts w:ascii="Arial" w:hAnsi="Arial" w:cs="Arial"/>
        </w:rPr>
        <w:t>h du Lun au Ven : pour tous les autres personnels</w:t>
      </w:r>
    </w:p>
    <w:p w:rsidR="00BE00FC" w:rsidRPr="0042231A" w:rsidRDefault="006C6532" w:rsidP="00461865">
      <w:pPr>
        <w:jc w:val="both"/>
        <w:rPr>
          <w:rFonts w:ascii="Arial" w:hAnsi="Arial" w:cs="Arial"/>
        </w:rPr>
      </w:pPr>
      <w:r w:rsidRPr="0042231A">
        <w:rPr>
          <w:rFonts w:ascii="Arial" w:hAnsi="Arial" w:cs="Arial"/>
        </w:rPr>
        <w:t xml:space="preserve">- </w:t>
      </w:r>
      <w:r w:rsidR="0042231A" w:rsidRPr="0042231A">
        <w:rPr>
          <w:rFonts w:ascii="Arial" w:hAnsi="Arial" w:cs="Arial"/>
        </w:rPr>
        <w:t>W</w:t>
      </w:r>
      <w:r w:rsidR="00753179" w:rsidRPr="0042231A">
        <w:rPr>
          <w:rFonts w:ascii="Arial" w:hAnsi="Arial" w:cs="Arial"/>
        </w:rPr>
        <w:t>eek-end et jours fériés</w:t>
      </w:r>
      <w:r w:rsidRPr="0042231A">
        <w:rPr>
          <w:rFonts w:ascii="Arial" w:hAnsi="Arial" w:cs="Arial"/>
        </w:rPr>
        <w:t> : sur demande écrite du directeur d’unité</w:t>
      </w:r>
    </w:p>
    <w:p w:rsidR="0042231A" w:rsidRPr="0042231A" w:rsidRDefault="0042231A" w:rsidP="00461865">
      <w:pPr>
        <w:jc w:val="both"/>
        <w:rPr>
          <w:rFonts w:ascii="Arial" w:hAnsi="Arial" w:cs="Arial"/>
        </w:rPr>
      </w:pPr>
    </w:p>
    <w:p w:rsidR="00BE00FC" w:rsidRPr="00816C22" w:rsidRDefault="001B3AFE" w:rsidP="00461865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Pour des travaux réalisés exceptionnellement hors de </w:t>
      </w:r>
      <w:r w:rsidR="00417D84">
        <w:rPr>
          <w:rFonts w:ascii="Arial" w:hAnsi="Arial" w:cs="Arial"/>
        </w:rPr>
        <w:t>la</w:t>
      </w:r>
      <w:r w:rsidRPr="00816C22">
        <w:rPr>
          <w:rFonts w:ascii="Arial" w:hAnsi="Arial" w:cs="Arial"/>
        </w:rPr>
        <w:t xml:space="preserve"> plage horaire</w:t>
      </w:r>
      <w:r w:rsidR="00417D84">
        <w:rPr>
          <w:rFonts w:ascii="Arial" w:hAnsi="Arial" w:cs="Arial"/>
        </w:rPr>
        <w:t xml:space="preserve"> </w:t>
      </w:r>
      <w:r w:rsidR="00417D84" w:rsidRPr="0042231A">
        <w:rPr>
          <w:rFonts w:ascii="Arial" w:hAnsi="Arial" w:cs="Arial"/>
        </w:rPr>
        <w:t>7h30-19h30 du Lun au Ven,</w:t>
      </w:r>
      <w:r w:rsidRPr="0042231A">
        <w:rPr>
          <w:rFonts w:ascii="Arial" w:hAnsi="Arial" w:cs="Arial"/>
        </w:rPr>
        <w:t xml:space="preserve"> les</w:t>
      </w:r>
      <w:r w:rsidRPr="00816C22">
        <w:rPr>
          <w:rFonts w:ascii="Arial" w:hAnsi="Arial" w:cs="Arial"/>
        </w:rPr>
        <w:t xml:space="preserve"> personnes concernées </w:t>
      </w:r>
      <w:r w:rsidR="00753179">
        <w:rPr>
          <w:rFonts w:ascii="Arial" w:hAnsi="Arial" w:cs="Arial"/>
        </w:rPr>
        <w:t xml:space="preserve">sont considérées comme travailleurs isolées. Ils </w:t>
      </w:r>
      <w:r w:rsidRPr="00816C22">
        <w:rPr>
          <w:rFonts w:ascii="Arial" w:hAnsi="Arial" w:cs="Arial"/>
        </w:rPr>
        <w:t xml:space="preserve">devront </w:t>
      </w:r>
      <w:r w:rsidR="00753179">
        <w:rPr>
          <w:rFonts w:ascii="Arial" w:hAnsi="Arial" w:cs="Arial"/>
        </w:rPr>
        <w:lastRenderedPageBreak/>
        <w:t xml:space="preserve">donc se signaler en tant que tel. A savoir, remplir une fiche de travailleur isolé et la faire valider par le directeur d’unité. </w:t>
      </w:r>
    </w:p>
    <w:p w:rsidR="001B3AFE" w:rsidRPr="00816C22" w:rsidRDefault="001B3AFE" w:rsidP="0042231A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 </w:t>
      </w:r>
      <w:r w:rsidR="00753179">
        <w:rPr>
          <w:rFonts w:ascii="Arial" w:hAnsi="Arial" w:cs="Arial"/>
        </w:rPr>
        <w:t>poste</w:t>
      </w:r>
      <w:r w:rsidR="00753179" w:rsidRPr="00816C22">
        <w:rPr>
          <w:rFonts w:ascii="Arial" w:hAnsi="Arial" w:cs="Arial"/>
        </w:rPr>
        <w:t xml:space="preserve"> </w:t>
      </w:r>
      <w:r w:rsidRPr="00816C22">
        <w:rPr>
          <w:rFonts w:ascii="Arial" w:hAnsi="Arial" w:cs="Arial"/>
        </w:rPr>
        <w:t xml:space="preserve">de sécurité </w:t>
      </w:r>
      <w:r w:rsidRPr="00816C22">
        <w:rPr>
          <w:rFonts w:ascii="Arial" w:hAnsi="Arial" w:cs="Arial"/>
          <w:iCs/>
        </w:rPr>
        <w:t>du site</w:t>
      </w:r>
      <w:r w:rsidR="00753179">
        <w:rPr>
          <w:rFonts w:ascii="Arial" w:hAnsi="Arial" w:cs="Arial"/>
          <w:iCs/>
        </w:rPr>
        <w:t>, situé au rdc du bloc 4,</w:t>
      </w:r>
      <w:r w:rsidRPr="00816C22">
        <w:rPr>
          <w:rFonts w:ascii="Arial" w:hAnsi="Arial" w:cs="Arial"/>
        </w:rPr>
        <w:t xml:space="preserve"> doit être systématiquement informé de la présence d</w:t>
      </w:r>
      <w:r w:rsidR="00753179">
        <w:rPr>
          <w:rFonts w:ascii="Arial" w:hAnsi="Arial" w:cs="Arial"/>
        </w:rPr>
        <w:t>’un travailleur isolé (signalement à l’entrée et à la sortie)</w:t>
      </w: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Utilisation des équipements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strike/>
        </w:rPr>
      </w:pPr>
      <w:r w:rsidRPr="0042231A">
        <w:rPr>
          <w:rFonts w:ascii="Arial" w:hAnsi="Arial" w:cs="Arial"/>
        </w:rPr>
        <w:t xml:space="preserve">La liste des équipements mis à disposition </w:t>
      </w:r>
      <w:r w:rsidR="00A05A6E">
        <w:rPr>
          <w:rFonts w:ascii="Arial" w:hAnsi="Arial" w:cs="Arial"/>
        </w:rPr>
        <w:t>sur</w:t>
      </w:r>
      <w:r w:rsidRPr="0042231A">
        <w:rPr>
          <w:rFonts w:ascii="Arial" w:hAnsi="Arial" w:cs="Arial"/>
        </w:rPr>
        <w:t xml:space="preserve"> la </w:t>
      </w:r>
      <w:r w:rsidR="007C01F2" w:rsidRPr="0042231A">
        <w:rPr>
          <w:rFonts w:ascii="Arial" w:hAnsi="Arial" w:cs="Arial"/>
        </w:rPr>
        <w:t>PCC</w:t>
      </w:r>
      <w:r w:rsidR="00417D84" w:rsidRPr="0042231A">
        <w:rPr>
          <w:rFonts w:ascii="Arial" w:hAnsi="Arial" w:cs="Arial"/>
        </w:rPr>
        <w:t xml:space="preserve"> </w:t>
      </w:r>
      <w:r w:rsidR="00A05A6E">
        <w:rPr>
          <w:rFonts w:ascii="Arial" w:hAnsi="Arial" w:cs="Arial"/>
        </w:rPr>
        <w:t>est</w:t>
      </w:r>
      <w:r w:rsidR="00753179" w:rsidRPr="0042231A">
        <w:rPr>
          <w:rFonts w:ascii="Arial" w:hAnsi="Arial" w:cs="Arial"/>
        </w:rPr>
        <w:t xml:space="preserve"> actualisée </w:t>
      </w:r>
      <w:r w:rsidR="00B3744F" w:rsidRPr="0042231A">
        <w:rPr>
          <w:rFonts w:ascii="Arial" w:hAnsi="Arial" w:cs="Arial"/>
        </w:rPr>
        <w:t>par le responsable de la PCC</w:t>
      </w:r>
      <w:r w:rsidR="00753179" w:rsidRPr="0042231A">
        <w:rPr>
          <w:rFonts w:ascii="Arial" w:hAnsi="Arial" w:cs="Arial"/>
        </w:rPr>
        <w:t xml:space="preserve">. </w:t>
      </w:r>
      <w:r w:rsidR="00B3744F" w:rsidRPr="0042231A">
        <w:rPr>
          <w:rFonts w:ascii="Arial" w:hAnsi="Arial" w:cs="Arial"/>
        </w:rPr>
        <w:t>L’</w:t>
      </w:r>
      <w:r w:rsidR="00753179" w:rsidRPr="0042231A">
        <w:rPr>
          <w:rFonts w:ascii="Arial" w:hAnsi="Arial" w:cs="Arial"/>
        </w:rPr>
        <w:t xml:space="preserve">inventaire </w:t>
      </w:r>
      <w:r w:rsidR="00B3744F" w:rsidRPr="0042231A">
        <w:rPr>
          <w:rFonts w:ascii="Arial" w:hAnsi="Arial" w:cs="Arial"/>
        </w:rPr>
        <w:t>à jour est validé par les directeurs d’unités</w:t>
      </w:r>
      <w:r w:rsidR="00753179" w:rsidRPr="0042231A">
        <w:rPr>
          <w:rFonts w:ascii="Arial" w:hAnsi="Arial" w:cs="Arial"/>
        </w:rPr>
        <w:t xml:space="preserve">. </w:t>
      </w:r>
    </w:p>
    <w:p w:rsidR="0042231A" w:rsidRPr="00816C22" w:rsidRDefault="0042231A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Toute acquisition, réforme, modification ou changement d’utilisation, ainsi que le déplacement, des appareils affectés à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 xml:space="preserve"> doit faire l’objet d’un accord </w:t>
      </w:r>
      <w:r w:rsidR="00B3744F">
        <w:rPr>
          <w:rFonts w:ascii="Arial" w:hAnsi="Arial" w:cs="Arial"/>
        </w:rPr>
        <w:t xml:space="preserve">entre le responsable de la PCC et les directeurs </w:t>
      </w:r>
      <w:r w:rsidR="00A05A6E">
        <w:rPr>
          <w:rFonts w:ascii="Arial" w:hAnsi="Arial" w:cs="Arial"/>
        </w:rPr>
        <w:t>d’unités.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Chaque poste de travail est accompagné de ses accessoires, à définir avec les expérimentateurs au moment de la mise en place des laboratoires (jeu de micropi</w:t>
      </w:r>
      <w:r w:rsidR="001A09B5" w:rsidRPr="00816C22">
        <w:rPr>
          <w:rFonts w:ascii="Arial" w:hAnsi="Arial" w:cs="Arial"/>
        </w:rPr>
        <w:t>pettes, pipeteur</w:t>
      </w:r>
      <w:r w:rsidRPr="00816C22">
        <w:rPr>
          <w:rFonts w:ascii="Arial" w:hAnsi="Arial" w:cs="Arial"/>
        </w:rPr>
        <w:t>, pompe, conteneur à déchets, portoir, récipients). Les accessoires d’un poste de travail ne doivent en aucun cas être soustraits pour équiper un autre.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42231A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L’occupation d’un poste de travail n’est possible qu’après ré</w:t>
      </w:r>
      <w:r w:rsidR="00DD626B" w:rsidRPr="00816C22">
        <w:rPr>
          <w:rFonts w:ascii="Arial" w:hAnsi="Arial" w:cs="Arial"/>
        </w:rPr>
        <w:t>servation</w:t>
      </w:r>
      <w:r w:rsidRPr="00816C22">
        <w:rPr>
          <w:rFonts w:ascii="Arial" w:hAnsi="Arial" w:cs="Arial"/>
        </w:rPr>
        <w:t xml:space="preserve"> sur </w:t>
      </w:r>
      <w:r w:rsidR="00A05A6E">
        <w:rPr>
          <w:rFonts w:ascii="Arial" w:hAnsi="Arial" w:cs="Arial"/>
        </w:rPr>
        <w:t>le site GRR</w:t>
      </w:r>
      <w:r w:rsidR="00DD626B" w:rsidRPr="00816C22">
        <w:rPr>
          <w:rFonts w:ascii="Arial" w:hAnsi="Arial" w:cs="Arial"/>
        </w:rPr>
        <w:t xml:space="preserve"> </w:t>
      </w:r>
      <w:r w:rsidR="00DD626B" w:rsidRPr="0042231A">
        <w:rPr>
          <w:rFonts w:ascii="Arial" w:hAnsi="Arial" w:cs="Arial"/>
        </w:rPr>
        <w:t>(</w:t>
      </w:r>
      <w:r w:rsidR="00417D84" w:rsidRPr="0042231A">
        <w:rPr>
          <w:rFonts w:ascii="Arial" w:hAnsi="Arial" w:cs="Arial"/>
        </w:rPr>
        <w:t>http://grrluminy.marseille.inserm.fr/login.php</w:t>
      </w:r>
      <w:r w:rsidR="0042231A" w:rsidRPr="0042231A">
        <w:rPr>
          <w:rFonts w:ascii="Arial" w:hAnsi="Arial" w:cs="Arial"/>
        </w:rPr>
        <w:t>)</w:t>
      </w:r>
      <w:r w:rsidR="00DD626B" w:rsidRPr="0042231A">
        <w:rPr>
          <w:rFonts w:ascii="Arial" w:hAnsi="Arial" w:cs="Arial"/>
        </w:rPr>
        <w:t>.</w:t>
      </w:r>
      <w:r w:rsidRPr="0042231A">
        <w:rPr>
          <w:rFonts w:ascii="Arial" w:hAnsi="Arial" w:cs="Arial"/>
        </w:rPr>
        <w:t xml:space="preserve"> La réservation engage la personne concernée</w:t>
      </w:r>
      <w:r w:rsidRPr="00816C22">
        <w:rPr>
          <w:rFonts w:ascii="Arial" w:hAnsi="Arial" w:cs="Arial"/>
        </w:rPr>
        <w:t xml:space="preserve"> sur le respect des horaires d’occupation du poste de travail</w:t>
      </w:r>
      <w:r w:rsidRPr="0042231A">
        <w:rPr>
          <w:rFonts w:ascii="Arial" w:hAnsi="Arial" w:cs="Arial"/>
        </w:rPr>
        <w:t>.</w:t>
      </w:r>
      <w:r w:rsidR="00092CBA" w:rsidRPr="0042231A">
        <w:rPr>
          <w:rFonts w:ascii="Arial" w:hAnsi="Arial" w:cs="Arial"/>
        </w:rPr>
        <w:t xml:space="preserve"> L’accès à ce site de réservation n’est donné qu’aux utilisateurs habilités.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Un cahier de paillasse est attaché </w:t>
      </w:r>
      <w:r w:rsidRPr="0042231A">
        <w:rPr>
          <w:rFonts w:ascii="Arial" w:hAnsi="Arial" w:cs="Arial"/>
        </w:rPr>
        <w:t xml:space="preserve">à </w:t>
      </w:r>
      <w:r w:rsidR="00417D84" w:rsidRPr="0042231A">
        <w:rPr>
          <w:rFonts w:ascii="Arial" w:hAnsi="Arial" w:cs="Arial"/>
        </w:rPr>
        <w:t>certains</w:t>
      </w:r>
      <w:r w:rsidR="00B3744F" w:rsidRPr="0042231A">
        <w:rPr>
          <w:rFonts w:ascii="Arial" w:hAnsi="Arial" w:cs="Arial"/>
        </w:rPr>
        <w:t xml:space="preserve"> appareillages</w:t>
      </w:r>
      <w:r w:rsidRPr="0042231A">
        <w:rPr>
          <w:rFonts w:ascii="Arial" w:hAnsi="Arial" w:cs="Arial"/>
        </w:rPr>
        <w:t>, afin</w:t>
      </w:r>
      <w:r w:rsidRPr="00816C22">
        <w:rPr>
          <w:rFonts w:ascii="Arial" w:hAnsi="Arial" w:cs="Arial"/>
        </w:rPr>
        <w:t xml:space="preserve"> que les expérimentateurs y reportent la nature, les horaires et la date de leurs manipulations ainsi que toute </w:t>
      </w:r>
      <w:r w:rsidR="00B3744F">
        <w:rPr>
          <w:rFonts w:ascii="Arial" w:hAnsi="Arial" w:cs="Arial"/>
        </w:rPr>
        <w:t>information pertinente concernant l’appareil</w:t>
      </w:r>
      <w:r w:rsidR="00953AB4">
        <w:rPr>
          <w:rFonts w:ascii="Arial" w:hAnsi="Arial" w:cs="Arial"/>
        </w:rPr>
        <w:t>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Il n’existe pas de poste de travail réservé à un expérimentateur, ou à une </w:t>
      </w:r>
      <w:r w:rsidR="00A05A6E">
        <w:rPr>
          <w:rFonts w:ascii="Arial" w:hAnsi="Arial" w:cs="Arial"/>
        </w:rPr>
        <w:t>u</w:t>
      </w:r>
      <w:r w:rsidRPr="00816C22">
        <w:rPr>
          <w:rFonts w:ascii="Arial" w:hAnsi="Arial" w:cs="Arial"/>
        </w:rPr>
        <w:t>nité de recherche. Cependant, dans certains cas particuliers et après accord d</w:t>
      </w:r>
      <w:r w:rsidR="00A05A6E">
        <w:rPr>
          <w:rFonts w:ascii="Arial" w:hAnsi="Arial" w:cs="Arial"/>
        </w:rPr>
        <w:t>u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 xml:space="preserve">responsable de la PCC </w:t>
      </w:r>
      <w:r w:rsidR="00A05A6E">
        <w:rPr>
          <w:rFonts w:ascii="Arial" w:hAnsi="Arial" w:cs="Arial"/>
        </w:rPr>
        <w:t xml:space="preserve">et </w:t>
      </w:r>
      <w:r w:rsidRPr="00816C22">
        <w:rPr>
          <w:rFonts w:ascii="Arial" w:hAnsi="Arial" w:cs="Arial"/>
        </w:rPr>
        <w:t>de l’ensemble des Directeurs d’Unités, un poste peut être dévolu à temps plein à une seule expérimentation. Ceci reste exceptionnel et limité dans le temps. L’expérimentateur qui le demande doit s’engager sur les dates auxquelles il réserve le poste de travail. Au-delà de la date limite indiquée, le poste de travail redevient un poste commun.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Tous les utilisateurs doivent vérifier que le niveau d’eau dans les incubateurs est suffisant, et que la pression dans les bouteilles de CO2 est correcte. Tout problème est signalé </w:t>
      </w:r>
      <w:r w:rsidR="00A05A6E">
        <w:rPr>
          <w:rFonts w:ascii="Arial" w:hAnsi="Arial" w:cs="Arial"/>
        </w:rPr>
        <w:t xml:space="preserve">au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>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L’utilisation d’un équipement commun doit être faite selon les règles de l’art.</w:t>
      </w:r>
      <w:r w:rsidR="00A05A6E">
        <w:rPr>
          <w:rFonts w:ascii="Arial" w:hAnsi="Arial" w:cs="Arial"/>
        </w:rPr>
        <w:t xml:space="preserve"> </w:t>
      </w:r>
      <w:r w:rsidRPr="00816C22">
        <w:rPr>
          <w:rFonts w:ascii="Arial" w:hAnsi="Arial" w:cs="Arial"/>
        </w:rPr>
        <w:t>Des notes de procédure sont affichées aux endroits adéquats afin de guider les expérimentateurs, et d’assurer l’observance par chacun de bonnes pratiques admises par tous.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674C27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674C27">
        <w:rPr>
          <w:rFonts w:ascii="Arial" w:hAnsi="Arial" w:cs="Arial"/>
        </w:rPr>
        <w:t>La division de l’espace de travail en zones spécialisées est stricte : il est interdit de procéder dans une zone de travail, à des manipulations qui doivent être effectuées dans une autre.</w:t>
      </w:r>
    </w:p>
    <w:p w:rsidR="001B3AFE" w:rsidRPr="00674C27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Chaque </w:t>
      </w:r>
      <w:r w:rsidR="00434890" w:rsidRPr="00816C22">
        <w:rPr>
          <w:rFonts w:ascii="Arial" w:hAnsi="Arial" w:cs="Arial"/>
        </w:rPr>
        <w:t>laboratoire</w:t>
      </w:r>
      <w:r w:rsidRPr="00816C22">
        <w:rPr>
          <w:rFonts w:ascii="Arial" w:hAnsi="Arial" w:cs="Arial"/>
        </w:rPr>
        <w:t xml:space="preserve"> dispose d’un espace de rangement réservé</w:t>
      </w:r>
      <w:r w:rsidR="00434890" w:rsidRPr="00816C22">
        <w:rPr>
          <w:rFonts w:ascii="Arial" w:hAnsi="Arial" w:cs="Arial"/>
        </w:rPr>
        <w:t>,</w:t>
      </w:r>
      <w:r w:rsidRPr="00816C22">
        <w:rPr>
          <w:rFonts w:ascii="Arial" w:hAnsi="Arial" w:cs="Arial"/>
        </w:rPr>
        <w:t xml:space="preserve"> affect</w:t>
      </w:r>
      <w:r w:rsidR="00434890" w:rsidRPr="00816C22">
        <w:rPr>
          <w:rFonts w:ascii="Arial" w:hAnsi="Arial" w:cs="Arial"/>
        </w:rPr>
        <w:t>é</w:t>
      </w:r>
      <w:r w:rsidRPr="00816C22">
        <w:rPr>
          <w:rFonts w:ascii="Arial" w:hAnsi="Arial" w:cs="Arial"/>
        </w:rPr>
        <w:t xml:space="preserve"> au stockage du petit matériel consommable (plastique, </w:t>
      </w:r>
      <w:proofErr w:type="spellStart"/>
      <w:r w:rsidRPr="00816C22">
        <w:rPr>
          <w:rFonts w:ascii="Arial" w:hAnsi="Arial" w:cs="Arial"/>
        </w:rPr>
        <w:t>etc</w:t>
      </w:r>
      <w:proofErr w:type="spellEnd"/>
      <w:r w:rsidRPr="00816C22">
        <w:rPr>
          <w:rFonts w:ascii="Arial" w:hAnsi="Arial" w:cs="Arial"/>
        </w:rPr>
        <w:t xml:space="preserve">). Cet espace doit être ordonné, et ne doit pas empiéter sur l’espace dévolu aux </w:t>
      </w:r>
      <w:r w:rsidR="00434890" w:rsidRPr="00816C22">
        <w:rPr>
          <w:rFonts w:ascii="Arial" w:hAnsi="Arial" w:cs="Arial"/>
        </w:rPr>
        <w:t>manipulations</w:t>
      </w:r>
      <w:r w:rsidRPr="00816C22">
        <w:rPr>
          <w:rFonts w:ascii="Arial" w:hAnsi="Arial" w:cs="Arial"/>
        </w:rPr>
        <w:t xml:space="preserve">. 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fourniture des produits consommables (milieux, sérum, additifs, PBS) est assurée par chaque Unité de recherche, et à ses frais pour ce qui </w:t>
      </w:r>
      <w:smartTag w:uri="urn:schemas-microsoft-com:office:smarttags" w:element="PersonName">
        <w:smartTagPr>
          <w:attr w:name="ProductID" w:val="la concerne. Le"/>
        </w:smartTagPr>
        <w:r w:rsidRPr="00816C22">
          <w:rPr>
            <w:rFonts w:ascii="Arial" w:hAnsi="Arial" w:cs="Arial"/>
          </w:rPr>
          <w:t>la concerne. Le</w:t>
        </w:r>
      </w:smartTag>
      <w:r w:rsidRPr="00816C22">
        <w:rPr>
          <w:rFonts w:ascii="Arial" w:hAnsi="Arial" w:cs="Arial"/>
        </w:rPr>
        <w:t xml:space="preserve"> stockage de ces produits n’est pas </w:t>
      </w:r>
      <w:r w:rsidR="00E161A7" w:rsidRPr="00816C22">
        <w:rPr>
          <w:rFonts w:ascii="Arial" w:hAnsi="Arial" w:cs="Arial"/>
        </w:rPr>
        <w:t xml:space="preserve">nécessairement </w:t>
      </w:r>
      <w:r w:rsidRPr="00816C22">
        <w:rPr>
          <w:rFonts w:ascii="Arial" w:hAnsi="Arial" w:cs="Arial"/>
        </w:rPr>
        <w:t xml:space="preserve">fait dans les locaux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>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Les espaces partagés (congélateurs, réfrigérateurs) doivent être organisés de manière à ce que tous les expérimentateurs puissent les utiliser commodément. L</w:t>
      </w:r>
      <w:r w:rsidR="00A05A6E">
        <w:rPr>
          <w:rFonts w:ascii="Arial" w:hAnsi="Arial" w:cs="Arial"/>
        </w:rPr>
        <w:t>e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 xml:space="preserve">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 xml:space="preserve">optimisera si </w:t>
      </w:r>
      <w:r w:rsidR="00282C8D">
        <w:rPr>
          <w:rFonts w:ascii="Arial" w:hAnsi="Arial" w:cs="Arial"/>
        </w:rPr>
        <w:t xml:space="preserve">nécessaire </w:t>
      </w:r>
      <w:r w:rsidR="00282C8D" w:rsidRPr="00816C22">
        <w:rPr>
          <w:rFonts w:ascii="Arial" w:hAnsi="Arial" w:cs="Arial"/>
        </w:rPr>
        <w:t>l’utilisation</w:t>
      </w:r>
      <w:r w:rsidRPr="00816C22">
        <w:rPr>
          <w:rFonts w:ascii="Arial" w:hAnsi="Arial" w:cs="Arial"/>
        </w:rPr>
        <w:t xml:space="preserve"> de ces espaces.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Le stockage dans les espaces partagés, de matériel présentant un risque biologique ou chimique, est fait sous la responsabilité de l’expérimentateur et du Directeur de l’Unité de recherche à laquelle il appartient.</w:t>
      </w:r>
    </w:p>
    <w:p w:rsidR="00526603" w:rsidRDefault="0052660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526603" w:rsidRPr="00A05A6E" w:rsidRDefault="0052660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A05A6E">
        <w:rPr>
          <w:rFonts w:ascii="Arial" w:hAnsi="Arial" w:cs="Arial"/>
          <w:b/>
          <w:u w:val="single"/>
        </w:rPr>
        <w:t>Tarification :</w:t>
      </w:r>
    </w:p>
    <w:p w:rsidR="00526603" w:rsidRPr="00953AB4" w:rsidRDefault="0052660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AC16A6" w:rsidRPr="00953AB4" w:rsidRDefault="00526603" w:rsidP="00A05A6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953AB4">
        <w:rPr>
          <w:rFonts w:ascii="Arial" w:hAnsi="Arial" w:cs="Arial"/>
        </w:rPr>
        <w:t xml:space="preserve">Certains équipements et/ou services de la PCC sont soumis à une tarification. L’utilisation des PSM, du cytomètre BD </w:t>
      </w:r>
      <w:proofErr w:type="spellStart"/>
      <w:r w:rsidRPr="00953AB4">
        <w:rPr>
          <w:rFonts w:ascii="Arial" w:hAnsi="Arial" w:cs="Arial"/>
        </w:rPr>
        <w:t>Fortessa</w:t>
      </w:r>
      <w:proofErr w:type="spellEnd"/>
      <w:r w:rsidRPr="00953AB4">
        <w:rPr>
          <w:rFonts w:ascii="Arial" w:hAnsi="Arial" w:cs="Arial"/>
        </w:rPr>
        <w:t xml:space="preserve"> X20, du trieur BD FACS Melody ainsi que les contrôles mycoplasmes sont facturés périodiquement à chaque unité utilisatrice de la PCC.</w:t>
      </w:r>
    </w:p>
    <w:p w:rsidR="00526603" w:rsidRPr="00953AB4" w:rsidRDefault="00526603" w:rsidP="00A05A6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953AB4">
        <w:rPr>
          <w:rFonts w:ascii="Arial" w:hAnsi="Arial" w:cs="Arial"/>
        </w:rPr>
        <w:t>Ce tarif est calculé chaque année en fonction du co</w:t>
      </w:r>
      <w:r w:rsidR="00257815" w:rsidRPr="00953AB4">
        <w:rPr>
          <w:rFonts w:ascii="Arial" w:hAnsi="Arial" w:cs="Arial"/>
        </w:rPr>
        <w:t>û</w:t>
      </w:r>
      <w:r w:rsidRPr="00953AB4">
        <w:rPr>
          <w:rFonts w:ascii="Arial" w:hAnsi="Arial" w:cs="Arial"/>
        </w:rPr>
        <w:t>t de fonctionnement de la PCC (ou des instruments) de l’année précédente.</w:t>
      </w:r>
    </w:p>
    <w:p w:rsidR="00526603" w:rsidRPr="00526603" w:rsidRDefault="00526603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color w:val="FF0000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  <w:b/>
          <w:u w:val="single"/>
        </w:rPr>
        <w:t>Fonctionnement des infrastructures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L’entretien des installations d’infrastructure (ventilation, climatisation-chauffage, plomberie, électricité) est à la charge de </w:t>
      </w:r>
      <w:r w:rsidR="00257815">
        <w:rPr>
          <w:rFonts w:ascii="Arial" w:hAnsi="Arial" w:cs="Arial"/>
        </w:rPr>
        <w:t xml:space="preserve">la délégation régionale </w:t>
      </w:r>
      <w:r w:rsidRPr="00816C22">
        <w:rPr>
          <w:rFonts w:ascii="Arial" w:hAnsi="Arial" w:cs="Arial"/>
        </w:rPr>
        <w:t>ADR2</w:t>
      </w:r>
      <w:r w:rsidR="00257815">
        <w:rPr>
          <w:rFonts w:ascii="Arial" w:hAnsi="Arial" w:cs="Arial"/>
        </w:rPr>
        <w:t>, via son service du patrimoine.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</w:t>
      </w:r>
      <w:r w:rsidR="00282C8D">
        <w:rPr>
          <w:rFonts w:ascii="Arial" w:hAnsi="Arial" w:cs="Arial"/>
        </w:rPr>
        <w:t>e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 xml:space="preserve"> fait appel en cas de besoin aux entreprises compétentes, </w:t>
      </w:r>
      <w:r w:rsidR="00257815">
        <w:rPr>
          <w:rFonts w:ascii="Arial" w:hAnsi="Arial" w:cs="Arial"/>
        </w:rPr>
        <w:t>en accord avec le service du patrimoine.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Entretien des équipements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Les équipements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 xml:space="preserve"> comportent des appareils qui nécessitent un contrôle périodique, et d’autres non.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Pour les appareils nécessitant un contrôle périodique (PSM, </w:t>
      </w:r>
      <w:r w:rsidR="00434890" w:rsidRPr="00816C22">
        <w:rPr>
          <w:rFonts w:ascii="Arial" w:hAnsi="Arial" w:cs="Arial"/>
        </w:rPr>
        <w:t>centrifugeuses, micropipettes</w:t>
      </w:r>
      <w:r w:rsidRPr="00816C22">
        <w:rPr>
          <w:rFonts w:ascii="Arial" w:hAnsi="Arial" w:cs="Arial"/>
        </w:rPr>
        <w:t xml:space="preserve">) un contrat de </w:t>
      </w:r>
      <w:r w:rsidRPr="00953AB4">
        <w:rPr>
          <w:rFonts w:ascii="Arial" w:hAnsi="Arial" w:cs="Arial"/>
        </w:rPr>
        <w:t xml:space="preserve">maintenance </w:t>
      </w:r>
      <w:r w:rsidR="00674C27" w:rsidRPr="00953AB4">
        <w:rPr>
          <w:rFonts w:ascii="Arial" w:hAnsi="Arial" w:cs="Arial"/>
        </w:rPr>
        <w:t xml:space="preserve">peut être </w:t>
      </w:r>
      <w:r w:rsidRPr="00953AB4">
        <w:rPr>
          <w:rFonts w:ascii="Arial" w:hAnsi="Arial" w:cs="Arial"/>
        </w:rPr>
        <w:t>souscrit</w:t>
      </w:r>
      <w:r w:rsidRPr="00816C22">
        <w:rPr>
          <w:rFonts w:ascii="Arial" w:hAnsi="Arial" w:cs="Arial"/>
        </w:rPr>
        <w:t xml:space="preserve"> par l</w:t>
      </w:r>
      <w:r w:rsidR="00282C8D">
        <w:rPr>
          <w:rFonts w:ascii="Arial" w:hAnsi="Arial" w:cs="Arial"/>
        </w:rPr>
        <w:t>e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>, avec l’accord des Directeurs d’Unités. La char</w:t>
      </w:r>
      <w:r w:rsidR="004C3220" w:rsidRPr="00816C22">
        <w:rPr>
          <w:rFonts w:ascii="Arial" w:hAnsi="Arial" w:cs="Arial"/>
        </w:rPr>
        <w:t>ge en est assumée</w:t>
      </w:r>
      <w:r w:rsidRPr="00816C22">
        <w:rPr>
          <w:rFonts w:ascii="Arial" w:hAnsi="Arial" w:cs="Arial"/>
        </w:rPr>
        <w:t xml:space="preserve"> par toutes les </w:t>
      </w:r>
      <w:r w:rsidR="00A05A6E">
        <w:rPr>
          <w:rFonts w:ascii="Arial" w:hAnsi="Arial" w:cs="Arial"/>
        </w:rPr>
        <w:t>u</w:t>
      </w:r>
      <w:r w:rsidRPr="00816C22">
        <w:rPr>
          <w:rFonts w:ascii="Arial" w:hAnsi="Arial" w:cs="Arial"/>
        </w:rPr>
        <w:t>nités de recherche</w:t>
      </w:r>
      <w:r w:rsidR="004C3220" w:rsidRPr="00816C22">
        <w:rPr>
          <w:rFonts w:ascii="Arial" w:hAnsi="Arial" w:cs="Arial"/>
        </w:rPr>
        <w:t xml:space="preserve">, selon la règle de proportionnalité définie dans la </w:t>
      </w:r>
      <w:r w:rsidR="004C3220" w:rsidRPr="00282C8D">
        <w:rPr>
          <w:rFonts w:ascii="Arial" w:hAnsi="Arial" w:cs="Arial"/>
        </w:rPr>
        <w:t>Convention d’utilisation du matériel</w:t>
      </w:r>
      <w:r w:rsidRPr="00282C8D">
        <w:rPr>
          <w:rFonts w:ascii="Arial" w:hAnsi="Arial" w:cs="Arial"/>
        </w:rPr>
        <w:t>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4C3220" w:rsidRPr="00816C22" w:rsidRDefault="001B3AFE" w:rsidP="004C3220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Pour les autres appareils et équipements</w:t>
      </w:r>
      <w:r w:rsidR="00A05A6E">
        <w:rPr>
          <w:rFonts w:ascii="Arial" w:hAnsi="Arial" w:cs="Arial"/>
        </w:rPr>
        <w:t>,</w:t>
      </w:r>
      <w:r w:rsidRPr="00816C22">
        <w:rPr>
          <w:rFonts w:ascii="Arial" w:hAnsi="Arial" w:cs="Arial"/>
        </w:rPr>
        <w:t xml:space="preserve"> une maintenance est assurée en fonction des besoins et de l’usure, après avis d</w:t>
      </w:r>
      <w:r w:rsidR="00282C8D">
        <w:rPr>
          <w:rFonts w:ascii="Arial" w:hAnsi="Arial" w:cs="Arial"/>
        </w:rPr>
        <w:t>u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 xml:space="preserve">. </w:t>
      </w:r>
      <w:r w:rsidR="004C3220" w:rsidRPr="00816C22">
        <w:rPr>
          <w:rFonts w:ascii="Arial" w:hAnsi="Arial" w:cs="Arial"/>
        </w:rPr>
        <w:t>La charge en est assumée par toutes les Unités de recherche, selon la règle de proportionnalité définie dans la Convention d’utilisation du matériel.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953AB4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L’entretien régulier de chaque appareil, et le nettoyage des postes de travail sont assurés par les expérimentateurs. Cet entretien ne souffre aucun délai et doit être fait dès que </w:t>
      </w:r>
      <w:r w:rsidRPr="00953AB4">
        <w:rPr>
          <w:rFonts w:ascii="Arial" w:hAnsi="Arial" w:cs="Arial"/>
        </w:rPr>
        <w:t>nécessaire.</w:t>
      </w:r>
    </w:p>
    <w:p w:rsidR="00050ED5" w:rsidRPr="00953AB4" w:rsidRDefault="00050ED5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953AB4">
        <w:rPr>
          <w:rFonts w:ascii="Arial" w:hAnsi="Arial" w:cs="Arial"/>
        </w:rPr>
        <w:t>Le nettoyage hebdomadaire de chaque laboratoire L2 est assuré par les utilisateurs selon la procédure en cours et le planning est établi en fonction des heures d’utilisation de la période précédente.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Les frais de stockage dans l’azote liquide </w:t>
      </w:r>
      <w:r w:rsidR="003C19CB" w:rsidRPr="00816C22">
        <w:rPr>
          <w:rFonts w:ascii="Arial" w:hAnsi="Arial" w:cs="Arial"/>
        </w:rPr>
        <w:t xml:space="preserve">(fourniture d’azote) </w:t>
      </w:r>
      <w:r w:rsidRPr="00816C22">
        <w:rPr>
          <w:rFonts w:ascii="Arial" w:hAnsi="Arial" w:cs="Arial"/>
        </w:rPr>
        <w:t xml:space="preserve">sont </w:t>
      </w:r>
      <w:r w:rsidR="003C19CB" w:rsidRPr="00816C22">
        <w:rPr>
          <w:rFonts w:ascii="Arial" w:hAnsi="Arial" w:cs="Arial"/>
        </w:rPr>
        <w:t xml:space="preserve">à la charge de toutes les Unités de recherche, selon la règle de proportionnalité définie dans la Convention d’utilisation </w:t>
      </w:r>
      <w:r w:rsidR="003C19CB" w:rsidRPr="00816C22">
        <w:rPr>
          <w:rFonts w:ascii="Arial" w:hAnsi="Arial" w:cs="Arial"/>
        </w:rPr>
        <w:lastRenderedPageBreak/>
        <w:t>du matériel. L’</w:t>
      </w:r>
      <w:r w:rsidRPr="00816C22">
        <w:rPr>
          <w:rFonts w:ascii="Arial" w:hAnsi="Arial" w:cs="Arial"/>
        </w:rPr>
        <w:t xml:space="preserve">achat </w:t>
      </w:r>
      <w:r w:rsidR="003C19CB" w:rsidRPr="00816C22">
        <w:rPr>
          <w:rFonts w:ascii="Arial" w:hAnsi="Arial" w:cs="Arial"/>
        </w:rPr>
        <w:t xml:space="preserve">des accessoires </w:t>
      </w:r>
      <w:r w:rsidRPr="00816C22">
        <w:rPr>
          <w:rFonts w:ascii="Arial" w:hAnsi="Arial" w:cs="Arial"/>
        </w:rPr>
        <w:t xml:space="preserve">du conteneur </w:t>
      </w:r>
      <w:r w:rsidR="003C19CB" w:rsidRPr="00816C22">
        <w:rPr>
          <w:rFonts w:ascii="Arial" w:hAnsi="Arial" w:cs="Arial"/>
        </w:rPr>
        <w:t xml:space="preserve">(racks, </w:t>
      </w:r>
      <w:proofErr w:type="spellStart"/>
      <w:r w:rsidR="003C19CB" w:rsidRPr="00816C22">
        <w:rPr>
          <w:rFonts w:ascii="Arial" w:hAnsi="Arial" w:cs="Arial"/>
        </w:rPr>
        <w:t>cryoboîtes</w:t>
      </w:r>
      <w:proofErr w:type="spellEnd"/>
      <w:r w:rsidR="003C19CB" w:rsidRPr="00816C22">
        <w:rPr>
          <w:rFonts w:ascii="Arial" w:hAnsi="Arial" w:cs="Arial"/>
        </w:rPr>
        <w:t xml:space="preserve">) </w:t>
      </w:r>
      <w:r w:rsidRPr="00816C22">
        <w:rPr>
          <w:rFonts w:ascii="Arial" w:hAnsi="Arial" w:cs="Arial"/>
        </w:rPr>
        <w:t>e</w:t>
      </w:r>
      <w:r w:rsidR="003C19CB" w:rsidRPr="00816C22">
        <w:rPr>
          <w:rFonts w:ascii="Arial" w:hAnsi="Arial" w:cs="Arial"/>
        </w:rPr>
        <w:t>s</w:t>
      </w:r>
      <w:r w:rsidRPr="00816C22">
        <w:rPr>
          <w:rFonts w:ascii="Arial" w:hAnsi="Arial" w:cs="Arial"/>
        </w:rPr>
        <w:t>t</w:t>
      </w:r>
      <w:r w:rsidR="003C19CB" w:rsidRPr="00816C22">
        <w:rPr>
          <w:rFonts w:ascii="Arial" w:hAnsi="Arial" w:cs="Arial"/>
        </w:rPr>
        <w:t xml:space="preserve"> à la charge de chaque Unité de recherche pour ce qui la concerne.</w:t>
      </w:r>
    </w:p>
    <w:p w:rsidR="003C19CB" w:rsidRPr="00816C22" w:rsidRDefault="003C19CB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En cas de besoin, et au moins une fois par an, les laboratoires et leurs équipements seront décontaminés. La date de décontamination sera fixée par l</w:t>
      </w:r>
      <w:r w:rsidR="00282C8D">
        <w:rPr>
          <w:rFonts w:ascii="Arial" w:hAnsi="Arial" w:cs="Arial"/>
        </w:rPr>
        <w:t>e</w:t>
      </w:r>
      <w:r w:rsidRPr="00816C22">
        <w:rPr>
          <w:rFonts w:ascii="Arial" w:hAnsi="Arial" w:cs="Arial"/>
        </w:rPr>
        <w:t xml:space="preserve"> </w:t>
      </w:r>
      <w:r w:rsidR="00B3744F">
        <w:rPr>
          <w:rFonts w:ascii="Arial" w:hAnsi="Arial" w:cs="Arial"/>
        </w:rPr>
        <w:t>responsable de la PCC</w:t>
      </w:r>
      <w:r w:rsidRPr="00816C22">
        <w:rPr>
          <w:rFonts w:ascii="Arial" w:hAnsi="Arial" w:cs="Arial"/>
        </w:rPr>
        <w:t xml:space="preserve"> de la </w:t>
      </w:r>
      <w:r w:rsidR="008C7BF3" w:rsidRPr="00816C22">
        <w:rPr>
          <w:rFonts w:ascii="Arial" w:hAnsi="Arial" w:cs="Arial"/>
        </w:rPr>
        <w:t>plateforme</w:t>
      </w:r>
      <w:r w:rsidRPr="00816C22">
        <w:rPr>
          <w:rFonts w:ascii="Arial" w:hAnsi="Arial" w:cs="Arial"/>
        </w:rPr>
        <w:t>, après consultation des expérimentateurs. Tous les expérimentateurs présents à cette date participeront à l’opération.</w:t>
      </w:r>
    </w:p>
    <w:p w:rsidR="00AC16A6" w:rsidRPr="00816C22" w:rsidRDefault="00AC16A6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Utilisation de la laverie</w:t>
      </w:r>
    </w:p>
    <w:p w:rsidR="00E56D19" w:rsidRPr="00816C22" w:rsidRDefault="00E56D19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pièce 217 était une laverie. Elle est désormais utilisée </w:t>
      </w:r>
      <w:r w:rsidR="00AC16A6" w:rsidRPr="00816C22">
        <w:rPr>
          <w:rFonts w:ascii="Arial" w:hAnsi="Arial" w:cs="Arial"/>
        </w:rPr>
        <w:t xml:space="preserve">pour l’élimination des déchets liquides, </w:t>
      </w:r>
      <w:r w:rsidRPr="00816C22">
        <w:rPr>
          <w:rFonts w:ascii="Arial" w:hAnsi="Arial" w:cs="Arial"/>
        </w:rPr>
        <w:t xml:space="preserve">comme local de stockage au froid (congélateur </w:t>
      </w:r>
      <w:smartTag w:uri="urn:schemas-microsoft-com:office:smarttags" w:element="metricconverter">
        <w:smartTagPr>
          <w:attr w:name="ProductID" w:val="-80ﾰC"/>
        </w:smartTagPr>
        <w:r w:rsidRPr="00816C22">
          <w:rPr>
            <w:rFonts w:ascii="Arial" w:hAnsi="Arial" w:cs="Arial"/>
          </w:rPr>
          <w:t>-80°C</w:t>
        </w:r>
      </w:smartTag>
      <w:r w:rsidRPr="00816C22">
        <w:rPr>
          <w:rFonts w:ascii="Arial" w:hAnsi="Arial" w:cs="Arial"/>
        </w:rPr>
        <w:t xml:space="preserve"> commun, conteneurs d’azote)</w:t>
      </w:r>
      <w:r w:rsidR="003C19CB" w:rsidRPr="00816C22">
        <w:rPr>
          <w:rFonts w:ascii="Arial" w:hAnsi="Arial" w:cs="Arial"/>
        </w:rPr>
        <w:t>, et comme pièce de « petite réserve » de consommables en plastique</w:t>
      </w:r>
      <w:r w:rsidR="00DD0E85" w:rsidRPr="00816C22">
        <w:rPr>
          <w:rFonts w:ascii="Arial" w:hAnsi="Arial" w:cs="Arial"/>
        </w:rPr>
        <w:t xml:space="preserve"> et de ménage</w:t>
      </w:r>
      <w:r w:rsidRPr="00816C22">
        <w:rPr>
          <w:rFonts w:ascii="Arial" w:hAnsi="Arial" w:cs="Arial"/>
        </w:rPr>
        <w:t>.</w:t>
      </w:r>
      <w:r w:rsidR="00DD0E85" w:rsidRPr="00816C22">
        <w:rPr>
          <w:rFonts w:ascii="Arial" w:hAnsi="Arial" w:cs="Arial"/>
        </w:rPr>
        <w:t xml:space="preserve"> Les utilisateurs de la plateforme doivent la maintenir propre et en bon ordre.</w:t>
      </w: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BE00FC" w:rsidRPr="00816C22" w:rsidRDefault="00BE00FC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</w:rPr>
      </w:pPr>
    </w:p>
    <w:p w:rsidR="001B3AFE" w:rsidRPr="00816C22" w:rsidRDefault="001B3AFE">
      <w:pPr>
        <w:tabs>
          <w:tab w:val="left" w:pos="540"/>
          <w:tab w:val="left" w:pos="1620"/>
          <w:tab w:val="left" w:pos="4320"/>
          <w:tab w:val="left" w:pos="5400"/>
        </w:tabs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Gestion des déchets de laboratoire</w:t>
      </w:r>
    </w:p>
    <w:p w:rsidR="00E56D19" w:rsidRPr="00816C22" w:rsidRDefault="00E56D19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La fourniture de contenants normalisés </w:t>
      </w:r>
      <w:r w:rsidR="00237BC0" w:rsidRPr="00791C93">
        <w:rPr>
          <w:rFonts w:ascii="Arial" w:hAnsi="Arial" w:cs="Arial"/>
        </w:rPr>
        <w:t>et le traitement des déchets</w:t>
      </w:r>
      <w:r w:rsidR="00237BC0" w:rsidRPr="00953AB4">
        <w:rPr>
          <w:rFonts w:ascii="Arial" w:hAnsi="Arial" w:cs="Arial"/>
        </w:rPr>
        <w:t xml:space="preserve"> </w:t>
      </w:r>
      <w:r w:rsidR="00237BC0" w:rsidRPr="00791C93">
        <w:rPr>
          <w:rFonts w:ascii="Arial" w:hAnsi="Arial" w:cs="Arial"/>
        </w:rPr>
        <w:t>sont</w:t>
      </w:r>
      <w:r w:rsidR="00237BC0" w:rsidRPr="00953AB4">
        <w:rPr>
          <w:rFonts w:ascii="Arial" w:hAnsi="Arial" w:cs="Arial"/>
        </w:rPr>
        <w:t xml:space="preserve"> </w:t>
      </w:r>
      <w:r w:rsidR="00434890" w:rsidRPr="00953AB4">
        <w:rPr>
          <w:rFonts w:ascii="Arial" w:hAnsi="Arial" w:cs="Arial"/>
        </w:rPr>
        <w:t>à</w:t>
      </w:r>
      <w:r w:rsidR="00434890" w:rsidRPr="00816C22">
        <w:rPr>
          <w:rFonts w:ascii="Arial" w:hAnsi="Arial" w:cs="Arial"/>
        </w:rPr>
        <w:t xml:space="preserve"> la charge de toutes les Unités de recherche, selon la règle de proportionnalité définie dans la Convention d’utilisation du matériel</w:t>
      </w:r>
      <w:r w:rsidR="00953AB4">
        <w:rPr>
          <w:rFonts w:ascii="Arial" w:hAnsi="Arial" w:cs="Arial"/>
        </w:rPr>
        <w:t>.</w:t>
      </w: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Tous les déchets sont clairement identifiés (nature, producteur</w:t>
      </w:r>
      <w:r w:rsidR="00237BC0">
        <w:rPr>
          <w:rFonts w:ascii="Arial" w:hAnsi="Arial" w:cs="Arial"/>
        </w:rPr>
        <w:t xml:space="preserve"> (PCC)</w:t>
      </w:r>
      <w:r w:rsidRPr="00816C22">
        <w:rPr>
          <w:rFonts w:ascii="Arial" w:hAnsi="Arial" w:cs="Arial"/>
        </w:rPr>
        <w:t xml:space="preserve">, date de fermeture du contenant). </w:t>
      </w:r>
      <w:r w:rsidRPr="00953AB4">
        <w:rPr>
          <w:rFonts w:ascii="Arial" w:hAnsi="Arial" w:cs="Arial"/>
        </w:rPr>
        <w:t xml:space="preserve">Ils sont </w:t>
      </w:r>
      <w:r w:rsidR="00237BC0" w:rsidRPr="00953AB4">
        <w:rPr>
          <w:rFonts w:ascii="Arial" w:hAnsi="Arial" w:cs="Arial"/>
        </w:rPr>
        <w:t>évacués par les utilisateurs de la PCC selon les règles appliquées dans leurs unités de recherche.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BE00FC" w:rsidRPr="00816C22" w:rsidRDefault="00BE00FC">
      <w:pPr>
        <w:jc w:val="both"/>
        <w:rPr>
          <w:rFonts w:ascii="Arial" w:hAnsi="Arial" w:cs="Arial"/>
        </w:rPr>
      </w:pPr>
    </w:p>
    <w:p w:rsidR="001B3AFE" w:rsidRDefault="00257815">
      <w:pPr>
        <w:pStyle w:val="Titre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Prévention/ </w:t>
      </w:r>
      <w:r w:rsidR="001B3AFE" w:rsidRPr="00816C22">
        <w:rPr>
          <w:rFonts w:ascii="Arial" w:hAnsi="Arial" w:cs="Arial"/>
        </w:rPr>
        <w:t>Accidents</w:t>
      </w:r>
      <w:r>
        <w:rPr>
          <w:rFonts w:ascii="Arial" w:hAnsi="Arial" w:cs="Arial"/>
        </w:rPr>
        <w:t>/</w:t>
      </w:r>
      <w:r w:rsidR="00A05A6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ncidents</w:t>
      </w:r>
    </w:p>
    <w:p w:rsidR="00257815" w:rsidRDefault="00257815" w:rsidP="00257815"/>
    <w:p w:rsidR="00257815" w:rsidRPr="00953AB4" w:rsidRDefault="00257815" w:rsidP="00A05A6E">
      <w:pPr>
        <w:jc w:val="both"/>
        <w:rPr>
          <w:rFonts w:ascii="Arial" w:hAnsi="Arial" w:cs="Arial"/>
        </w:rPr>
      </w:pPr>
      <w:r w:rsidRPr="00953AB4">
        <w:rPr>
          <w:rFonts w:ascii="Arial" w:hAnsi="Arial" w:cs="Arial"/>
        </w:rPr>
        <w:t xml:space="preserve">Le responsable de la PCC est aussi </w:t>
      </w:r>
      <w:r w:rsidR="00953AB4" w:rsidRPr="00953AB4">
        <w:rPr>
          <w:rFonts w:ascii="Arial" w:hAnsi="Arial" w:cs="Arial"/>
        </w:rPr>
        <w:t>assistant</w:t>
      </w:r>
      <w:r w:rsidRPr="00953AB4">
        <w:rPr>
          <w:rFonts w:ascii="Arial" w:hAnsi="Arial" w:cs="Arial"/>
        </w:rPr>
        <w:t xml:space="preserve"> de prévention pour le </w:t>
      </w:r>
      <w:r w:rsidR="00953AB4" w:rsidRPr="00953AB4">
        <w:rPr>
          <w:rFonts w:ascii="Arial" w:hAnsi="Arial" w:cs="Arial"/>
        </w:rPr>
        <w:t>périmètre</w:t>
      </w:r>
      <w:r w:rsidRPr="00953AB4">
        <w:rPr>
          <w:rFonts w:ascii="Arial" w:hAnsi="Arial" w:cs="Arial"/>
        </w:rPr>
        <w:t xml:space="preserve"> de la plateforme. Il doit être informé de t</w:t>
      </w:r>
      <w:r w:rsidR="00953AB4">
        <w:rPr>
          <w:rFonts w:ascii="Arial" w:hAnsi="Arial" w:cs="Arial"/>
        </w:rPr>
        <w:t>o</w:t>
      </w:r>
      <w:r w:rsidRPr="00953AB4">
        <w:rPr>
          <w:rFonts w:ascii="Arial" w:hAnsi="Arial" w:cs="Arial"/>
        </w:rPr>
        <w:t xml:space="preserve">ut </w:t>
      </w:r>
      <w:r w:rsidR="00953AB4">
        <w:rPr>
          <w:rFonts w:ascii="Arial" w:hAnsi="Arial" w:cs="Arial"/>
        </w:rPr>
        <w:t>in</w:t>
      </w:r>
      <w:r w:rsidRPr="00953AB4">
        <w:rPr>
          <w:rFonts w:ascii="Arial" w:hAnsi="Arial" w:cs="Arial"/>
        </w:rPr>
        <w:t>cident</w:t>
      </w:r>
      <w:r w:rsidR="00A05A6E">
        <w:rPr>
          <w:rFonts w:ascii="Arial" w:hAnsi="Arial" w:cs="Arial"/>
        </w:rPr>
        <w:t>,</w:t>
      </w:r>
      <w:r w:rsidRPr="00953AB4">
        <w:rPr>
          <w:rFonts w:ascii="Arial" w:hAnsi="Arial" w:cs="Arial"/>
        </w:rPr>
        <w:t xml:space="preserve"> </w:t>
      </w:r>
      <w:r w:rsidR="00953AB4" w:rsidRPr="00953AB4">
        <w:rPr>
          <w:rFonts w:ascii="Arial" w:hAnsi="Arial" w:cs="Arial"/>
        </w:rPr>
        <w:t>même</w:t>
      </w:r>
      <w:r w:rsidRPr="00953AB4">
        <w:rPr>
          <w:rFonts w:ascii="Arial" w:hAnsi="Arial" w:cs="Arial"/>
        </w:rPr>
        <w:t xml:space="preserve"> mineur</w:t>
      </w:r>
      <w:r w:rsidR="00A05A6E">
        <w:rPr>
          <w:rFonts w:ascii="Arial" w:hAnsi="Arial" w:cs="Arial"/>
        </w:rPr>
        <w:t>,</w:t>
      </w:r>
      <w:r w:rsidRPr="00953AB4">
        <w:rPr>
          <w:rFonts w:ascii="Arial" w:hAnsi="Arial" w:cs="Arial"/>
        </w:rPr>
        <w:t xml:space="preserve"> et cet </w:t>
      </w:r>
      <w:r w:rsidR="00953AB4">
        <w:rPr>
          <w:rFonts w:ascii="Arial" w:hAnsi="Arial" w:cs="Arial"/>
        </w:rPr>
        <w:t>in</w:t>
      </w:r>
      <w:r w:rsidRPr="00953AB4">
        <w:rPr>
          <w:rFonts w:ascii="Arial" w:hAnsi="Arial" w:cs="Arial"/>
        </w:rPr>
        <w:t xml:space="preserve">cident doit </w:t>
      </w:r>
      <w:r w:rsidR="00953AB4" w:rsidRPr="00953AB4">
        <w:rPr>
          <w:rFonts w:ascii="Arial" w:hAnsi="Arial" w:cs="Arial"/>
        </w:rPr>
        <w:t>être</w:t>
      </w:r>
      <w:r w:rsidRPr="00953AB4">
        <w:rPr>
          <w:rFonts w:ascii="Arial" w:hAnsi="Arial" w:cs="Arial"/>
        </w:rPr>
        <w:t xml:space="preserve"> mentionné dans le </w:t>
      </w:r>
      <w:r w:rsidR="00A05A6E">
        <w:rPr>
          <w:rFonts w:ascii="Arial" w:hAnsi="Arial" w:cs="Arial"/>
        </w:rPr>
        <w:t>registre Santé et Sécurité au Travail (</w:t>
      </w:r>
      <w:r w:rsidRPr="00953AB4">
        <w:rPr>
          <w:rFonts w:ascii="Arial" w:hAnsi="Arial" w:cs="Arial"/>
        </w:rPr>
        <w:t>RSST</w:t>
      </w:r>
      <w:r w:rsidR="00A05A6E">
        <w:rPr>
          <w:rFonts w:ascii="Arial" w:hAnsi="Arial" w:cs="Arial"/>
        </w:rPr>
        <w:t>)</w:t>
      </w:r>
      <w:r w:rsidRPr="00953AB4">
        <w:rPr>
          <w:rFonts w:ascii="Arial" w:hAnsi="Arial" w:cs="Arial"/>
        </w:rPr>
        <w:t>.</w:t>
      </w:r>
    </w:p>
    <w:p w:rsidR="00E56D19" w:rsidRPr="00816C22" w:rsidRDefault="00E56D19">
      <w:pPr>
        <w:jc w:val="both"/>
        <w:rPr>
          <w:rFonts w:ascii="Arial" w:hAnsi="Arial" w:cs="Arial"/>
        </w:rPr>
      </w:pPr>
    </w:p>
    <w:p w:rsidR="00BE00FC" w:rsidRPr="00816C22" w:rsidRDefault="00BE00FC">
      <w:pPr>
        <w:jc w:val="both"/>
        <w:rPr>
          <w:rFonts w:ascii="Arial" w:hAnsi="Arial" w:cs="Arial"/>
        </w:rPr>
      </w:pPr>
    </w:p>
    <w:p w:rsidR="001B3AFE" w:rsidRPr="00816C22" w:rsidRDefault="001B3AFE">
      <w:pPr>
        <w:pStyle w:val="Titre1"/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Sanctions </w:t>
      </w:r>
    </w:p>
    <w:p w:rsidR="00E56D19" w:rsidRPr="00816C22" w:rsidRDefault="00E56D19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Le non-respect du présent règlement entraîne un premier avertissement auprès de la personne fautive, avec information du Directeur de l’Unité à laquelle appartient la personne concernée. En cas de récidive la personne </w:t>
      </w:r>
      <w:r w:rsidR="00844281">
        <w:rPr>
          <w:rFonts w:ascii="Arial" w:hAnsi="Arial" w:cs="Arial"/>
        </w:rPr>
        <w:t>pourra ne plus être autorisé</w:t>
      </w:r>
      <w:r w:rsidR="00A05A6E">
        <w:rPr>
          <w:rFonts w:ascii="Arial" w:hAnsi="Arial" w:cs="Arial"/>
        </w:rPr>
        <w:t>e</w:t>
      </w:r>
      <w:r w:rsidR="00844281">
        <w:rPr>
          <w:rFonts w:ascii="Arial" w:hAnsi="Arial" w:cs="Arial"/>
        </w:rPr>
        <w:t xml:space="preserve"> à accéder </w:t>
      </w:r>
      <w:r w:rsidRPr="00816C22">
        <w:rPr>
          <w:rFonts w:ascii="Arial" w:hAnsi="Arial" w:cs="Arial"/>
        </w:rPr>
        <w:t>aux laboratoires de culture cellulaire</w:t>
      </w:r>
      <w:r w:rsidR="00434890" w:rsidRPr="00816C22">
        <w:rPr>
          <w:rFonts w:ascii="Arial" w:hAnsi="Arial" w:cs="Arial"/>
        </w:rPr>
        <w:t xml:space="preserve"> et son badge </w:t>
      </w:r>
      <w:r w:rsidR="00470548" w:rsidRPr="00816C22">
        <w:rPr>
          <w:rFonts w:ascii="Arial" w:hAnsi="Arial" w:cs="Arial"/>
        </w:rPr>
        <w:t>sera désactivé</w:t>
      </w:r>
      <w:r w:rsidRPr="00816C22">
        <w:rPr>
          <w:rFonts w:ascii="Arial" w:hAnsi="Arial" w:cs="Arial"/>
        </w:rPr>
        <w:t>.</w:t>
      </w:r>
      <w:r w:rsidR="004A6A08">
        <w:rPr>
          <w:rFonts w:ascii="Arial" w:hAnsi="Arial" w:cs="Arial"/>
        </w:rPr>
        <w:t xml:space="preserve">  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BE00FC" w:rsidRPr="00816C22" w:rsidRDefault="00BE00FC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  <w:b/>
          <w:u w:val="single"/>
        </w:rPr>
      </w:pPr>
      <w:r w:rsidRPr="00816C22">
        <w:rPr>
          <w:rFonts w:ascii="Arial" w:hAnsi="Arial" w:cs="Arial"/>
          <w:b/>
          <w:u w:val="single"/>
        </w:rPr>
        <w:t>Date d’effet</w:t>
      </w:r>
    </w:p>
    <w:p w:rsidR="00E56D19" w:rsidRPr="00816C22" w:rsidRDefault="00E56D19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Le présent règlement est applicable dès la date sous citée, pour une durée indéterminée.</w:t>
      </w:r>
    </w:p>
    <w:p w:rsidR="001B3AFE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Il est révisable après avis et accord de toutes les parties concernées.</w:t>
      </w:r>
    </w:p>
    <w:p w:rsidR="004A6A08" w:rsidRPr="00816C22" w:rsidRDefault="004A6A08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 w:rsidP="006418D0">
      <w:pPr>
        <w:jc w:val="right"/>
        <w:rPr>
          <w:rFonts w:ascii="Arial" w:hAnsi="Arial" w:cs="Arial"/>
        </w:rPr>
      </w:pPr>
      <w:r w:rsidRPr="00816C22">
        <w:rPr>
          <w:rFonts w:ascii="Arial" w:hAnsi="Arial" w:cs="Arial"/>
        </w:rPr>
        <w:t xml:space="preserve">Fait à Luminy, le </w:t>
      </w:r>
      <w:r w:rsidR="006418D0" w:rsidRPr="00816C22">
        <w:rPr>
          <w:rFonts w:ascii="Arial" w:hAnsi="Arial" w:cs="Arial"/>
        </w:rPr>
        <w:t>1</w:t>
      </w:r>
      <w:r w:rsidR="006418D0" w:rsidRPr="00816C22">
        <w:rPr>
          <w:rFonts w:ascii="Arial" w:hAnsi="Arial" w:cs="Arial"/>
          <w:vertAlign w:val="superscript"/>
        </w:rPr>
        <w:t>er</w:t>
      </w:r>
      <w:r w:rsidR="006418D0" w:rsidRPr="00816C22">
        <w:rPr>
          <w:rFonts w:ascii="Arial" w:hAnsi="Arial" w:cs="Arial"/>
        </w:rPr>
        <w:t xml:space="preserve"> </w:t>
      </w:r>
      <w:r w:rsidR="00434890" w:rsidRPr="00816C22">
        <w:rPr>
          <w:rFonts w:ascii="Arial" w:hAnsi="Arial" w:cs="Arial"/>
        </w:rPr>
        <w:t xml:space="preserve">janvier </w:t>
      </w:r>
      <w:r w:rsidR="00791C93">
        <w:rPr>
          <w:rFonts w:ascii="Arial" w:hAnsi="Arial" w:cs="Arial"/>
        </w:rPr>
        <w:t>2020</w:t>
      </w:r>
      <w:r w:rsidR="006418D0" w:rsidRPr="00816C22">
        <w:rPr>
          <w:rFonts w:ascii="Arial" w:hAnsi="Arial" w:cs="Arial"/>
        </w:rPr>
        <w:t xml:space="preserve"> 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lastRenderedPageBreak/>
        <w:t>Lu et approuvé par les Directeurs d’Unité :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6418D0" w:rsidRPr="00237BC0" w:rsidRDefault="006418D0" w:rsidP="006418D0">
      <w:pPr>
        <w:tabs>
          <w:tab w:val="left" w:pos="342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ab/>
      </w:r>
      <w:r w:rsidR="00237BC0">
        <w:rPr>
          <w:rFonts w:ascii="Arial" w:hAnsi="Arial" w:cs="Arial"/>
        </w:rPr>
        <w:t xml:space="preserve">Olivier THEODOLY </w:t>
      </w:r>
      <w:r w:rsidRPr="00237BC0">
        <w:rPr>
          <w:rFonts w:ascii="Arial" w:hAnsi="Arial" w:cs="Arial"/>
        </w:rPr>
        <w:t>(U</w:t>
      </w:r>
      <w:r w:rsidR="00BC461C" w:rsidRPr="00237BC0">
        <w:rPr>
          <w:rFonts w:ascii="Arial" w:hAnsi="Arial" w:cs="Arial"/>
        </w:rPr>
        <w:t>1067</w:t>
      </w:r>
      <w:r w:rsidRPr="00237BC0">
        <w:rPr>
          <w:rFonts w:ascii="Arial" w:hAnsi="Arial" w:cs="Arial"/>
        </w:rPr>
        <w:t>)</w:t>
      </w:r>
    </w:p>
    <w:p w:rsidR="006418D0" w:rsidRPr="00237BC0" w:rsidRDefault="006418D0" w:rsidP="006418D0">
      <w:pPr>
        <w:tabs>
          <w:tab w:val="left" w:pos="3420"/>
        </w:tabs>
        <w:jc w:val="both"/>
        <w:rPr>
          <w:rFonts w:ascii="Arial" w:hAnsi="Arial" w:cs="Arial"/>
        </w:rPr>
      </w:pPr>
      <w:r w:rsidRPr="00237BC0">
        <w:rPr>
          <w:rFonts w:ascii="Arial" w:hAnsi="Arial" w:cs="Arial"/>
        </w:rPr>
        <w:tab/>
      </w:r>
    </w:p>
    <w:p w:rsidR="006418D0" w:rsidRDefault="006418D0" w:rsidP="006418D0">
      <w:pPr>
        <w:tabs>
          <w:tab w:val="left" w:pos="3420"/>
        </w:tabs>
        <w:jc w:val="both"/>
        <w:rPr>
          <w:rFonts w:ascii="Arial" w:hAnsi="Arial" w:cs="Arial"/>
        </w:rPr>
      </w:pPr>
      <w:r w:rsidRPr="00237BC0">
        <w:rPr>
          <w:rFonts w:ascii="Arial" w:hAnsi="Arial" w:cs="Arial"/>
        </w:rPr>
        <w:tab/>
      </w:r>
      <w:r w:rsidR="00AC16A6" w:rsidRPr="00816C22">
        <w:rPr>
          <w:rFonts w:ascii="Arial" w:hAnsi="Arial" w:cs="Arial"/>
        </w:rPr>
        <w:t xml:space="preserve">Juan </w:t>
      </w:r>
      <w:r w:rsidR="00237BC0">
        <w:rPr>
          <w:rFonts w:ascii="Arial" w:hAnsi="Arial" w:cs="Arial"/>
        </w:rPr>
        <w:t>IOVANNA</w:t>
      </w:r>
      <w:r w:rsidR="00AC16A6" w:rsidRPr="00816C22">
        <w:rPr>
          <w:rFonts w:ascii="Arial" w:hAnsi="Arial" w:cs="Arial"/>
        </w:rPr>
        <w:t xml:space="preserve"> </w:t>
      </w:r>
      <w:r w:rsidRPr="00816C22">
        <w:rPr>
          <w:rFonts w:ascii="Arial" w:hAnsi="Arial" w:cs="Arial"/>
        </w:rPr>
        <w:t>(</w:t>
      </w:r>
      <w:r w:rsidR="00434890" w:rsidRPr="00816C22">
        <w:rPr>
          <w:rFonts w:ascii="Arial" w:hAnsi="Arial" w:cs="Arial"/>
        </w:rPr>
        <w:t>U1068</w:t>
      </w:r>
      <w:r w:rsidRPr="00816C22">
        <w:rPr>
          <w:rFonts w:ascii="Arial" w:hAnsi="Arial" w:cs="Arial"/>
        </w:rPr>
        <w:t>)</w:t>
      </w:r>
    </w:p>
    <w:p w:rsidR="004F24FA" w:rsidRDefault="004F24FA" w:rsidP="006418D0">
      <w:pPr>
        <w:tabs>
          <w:tab w:val="left" w:pos="3420"/>
        </w:tabs>
        <w:jc w:val="both"/>
        <w:rPr>
          <w:rFonts w:ascii="Arial" w:hAnsi="Arial" w:cs="Arial"/>
        </w:rPr>
      </w:pPr>
    </w:p>
    <w:p w:rsidR="00A05A6E" w:rsidRPr="00816C22" w:rsidRDefault="004F24FA" w:rsidP="006418D0">
      <w:pPr>
        <w:tabs>
          <w:tab w:val="left" w:pos="3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5A6E">
        <w:rPr>
          <w:rFonts w:ascii="Arial" w:hAnsi="Arial" w:cs="Arial"/>
        </w:rPr>
        <w:t>Patr</w:t>
      </w:r>
      <w:r>
        <w:rPr>
          <w:rFonts w:ascii="Arial" w:hAnsi="Arial" w:cs="Arial"/>
        </w:rPr>
        <w:t>i</w:t>
      </w:r>
      <w:r w:rsidR="00A05A6E">
        <w:rPr>
          <w:rFonts w:ascii="Arial" w:hAnsi="Arial" w:cs="Arial"/>
        </w:rPr>
        <w:t>ck CHAMES</w:t>
      </w:r>
      <w:r>
        <w:rPr>
          <w:rFonts w:ascii="Arial" w:hAnsi="Arial" w:cs="Arial"/>
        </w:rPr>
        <w:t xml:space="preserve"> (U1068)</w:t>
      </w:r>
    </w:p>
    <w:p w:rsidR="00BC461C" w:rsidRPr="00816C22" w:rsidRDefault="00BC461C" w:rsidP="00BC461C">
      <w:pPr>
        <w:tabs>
          <w:tab w:val="left" w:pos="3420"/>
        </w:tabs>
        <w:jc w:val="both"/>
        <w:rPr>
          <w:rFonts w:ascii="Arial" w:hAnsi="Arial" w:cs="Arial"/>
        </w:rPr>
      </w:pPr>
    </w:p>
    <w:p w:rsidR="00BC461C" w:rsidRPr="00816C22" w:rsidRDefault="00BC461C" w:rsidP="00BC461C">
      <w:pPr>
        <w:tabs>
          <w:tab w:val="left" w:pos="342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ab/>
      </w:r>
      <w:r w:rsidR="00237BC0">
        <w:rPr>
          <w:rFonts w:ascii="Arial" w:hAnsi="Arial" w:cs="Arial"/>
        </w:rPr>
        <w:t xml:space="preserve">Pascal RIHET </w:t>
      </w:r>
      <w:r w:rsidRPr="00816C22">
        <w:rPr>
          <w:rFonts w:ascii="Arial" w:hAnsi="Arial" w:cs="Arial"/>
        </w:rPr>
        <w:t>(U1090)</w:t>
      </w:r>
    </w:p>
    <w:p w:rsidR="00BC461C" w:rsidRPr="00816C22" w:rsidRDefault="00BC461C" w:rsidP="00BC461C">
      <w:pPr>
        <w:tabs>
          <w:tab w:val="left" w:pos="3420"/>
        </w:tabs>
        <w:jc w:val="both"/>
        <w:rPr>
          <w:rFonts w:ascii="Arial" w:hAnsi="Arial" w:cs="Arial"/>
        </w:rPr>
      </w:pPr>
    </w:p>
    <w:p w:rsidR="006418D0" w:rsidRPr="00816C22" w:rsidRDefault="006418D0" w:rsidP="006418D0">
      <w:pPr>
        <w:tabs>
          <w:tab w:val="left" w:pos="3420"/>
        </w:tabs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ab/>
        <w:t xml:space="preserve">Jean </w:t>
      </w:r>
      <w:r w:rsidR="00237BC0">
        <w:rPr>
          <w:rFonts w:ascii="Arial" w:hAnsi="Arial" w:cs="Arial"/>
        </w:rPr>
        <w:t>ROUDIER</w:t>
      </w:r>
      <w:r w:rsidR="00BC461C" w:rsidRPr="00816C22">
        <w:rPr>
          <w:rFonts w:ascii="Arial" w:hAnsi="Arial" w:cs="Arial"/>
          <w:sz w:val="20"/>
        </w:rPr>
        <w:t xml:space="preserve"> </w:t>
      </w:r>
      <w:r w:rsidRPr="00816C22">
        <w:rPr>
          <w:rFonts w:ascii="Arial" w:hAnsi="Arial" w:cs="Arial"/>
        </w:rPr>
        <w:t xml:space="preserve"> (U</w:t>
      </w:r>
      <w:r w:rsidR="00BC461C" w:rsidRPr="00816C22">
        <w:rPr>
          <w:rFonts w:ascii="Arial" w:hAnsi="Arial" w:cs="Arial"/>
        </w:rPr>
        <w:t>1097</w:t>
      </w:r>
      <w:r w:rsidRPr="00816C22">
        <w:rPr>
          <w:rFonts w:ascii="Arial" w:hAnsi="Arial" w:cs="Arial"/>
        </w:rPr>
        <w:t>)</w:t>
      </w:r>
    </w:p>
    <w:p w:rsidR="001B3AFE" w:rsidRPr="00816C22" w:rsidRDefault="001B3AFE">
      <w:pPr>
        <w:jc w:val="both"/>
        <w:rPr>
          <w:rFonts w:ascii="Arial" w:hAnsi="Arial" w:cs="Arial"/>
        </w:rPr>
      </w:pPr>
    </w:p>
    <w:p w:rsidR="001B3AFE" w:rsidRPr="00816C22" w:rsidRDefault="001B3AFE">
      <w:pP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Pour l’Inserm :</w:t>
      </w:r>
    </w:p>
    <w:p w:rsidR="00AC16A6" w:rsidRPr="00816C22" w:rsidRDefault="00AC16A6">
      <w:pPr>
        <w:jc w:val="both"/>
        <w:rPr>
          <w:rFonts w:ascii="Arial" w:hAnsi="Arial" w:cs="Arial"/>
        </w:rPr>
      </w:pPr>
    </w:p>
    <w:p w:rsidR="00417D84" w:rsidRPr="00816C22" w:rsidRDefault="00417D84" w:rsidP="00417D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417D84" w:rsidRPr="00816C22" w:rsidRDefault="00417D84" w:rsidP="00417D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Je soussigné, certifie avoir lu ce Règlement Intérieur et m’engage à en respecter tous les termes.</w:t>
      </w:r>
    </w:p>
    <w:p w:rsidR="00417D84" w:rsidRPr="00816C22" w:rsidRDefault="00417D84" w:rsidP="00417D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Nom, Prénom :</w:t>
      </w:r>
    </w:p>
    <w:p w:rsidR="00417D84" w:rsidRDefault="00417D84" w:rsidP="00417D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816C22">
        <w:rPr>
          <w:rFonts w:ascii="Arial" w:hAnsi="Arial" w:cs="Arial"/>
        </w:rPr>
        <w:t>Le :</w:t>
      </w:r>
    </w:p>
    <w:p w:rsidR="00417D84" w:rsidRPr="008C7BF3" w:rsidRDefault="00417D84" w:rsidP="00417D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AC16A6" w:rsidRDefault="00AC16A6">
      <w:pPr>
        <w:jc w:val="both"/>
        <w:rPr>
          <w:rFonts w:ascii="Arial" w:hAnsi="Arial" w:cs="Arial"/>
        </w:rPr>
      </w:pPr>
    </w:p>
    <w:p w:rsidR="00417D84" w:rsidRDefault="008B1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282C8D" w:rsidRDefault="00282C8D" w:rsidP="00282C8D">
      <w:pPr>
        <w:jc w:val="center"/>
        <w:rPr>
          <w:rFonts w:ascii="Arial" w:hAnsi="Arial" w:cs="Arial"/>
          <w:sz w:val="40"/>
          <w:szCs w:val="40"/>
        </w:rPr>
      </w:pPr>
    </w:p>
    <w:p w:rsidR="00417D84" w:rsidRPr="00282C8D" w:rsidRDefault="00417D84" w:rsidP="00282C8D">
      <w:pPr>
        <w:jc w:val="center"/>
        <w:rPr>
          <w:rFonts w:ascii="Arial" w:hAnsi="Arial" w:cs="Arial"/>
          <w:sz w:val="40"/>
          <w:szCs w:val="40"/>
        </w:rPr>
      </w:pPr>
      <w:r w:rsidRPr="00282C8D">
        <w:rPr>
          <w:rFonts w:ascii="Arial" w:hAnsi="Arial" w:cs="Arial"/>
          <w:sz w:val="40"/>
          <w:szCs w:val="40"/>
        </w:rPr>
        <w:t>Annexes</w:t>
      </w:r>
    </w:p>
    <w:p w:rsidR="001B655C" w:rsidRDefault="0028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4500"/>
        <w:gridCol w:w="1760"/>
      </w:tblGrid>
      <w:tr w:rsidR="00282C8D" w:rsidRPr="00282C8D" w:rsidTr="00505586">
        <w:trPr>
          <w:jc w:val="center"/>
        </w:trPr>
        <w:tc>
          <w:tcPr>
            <w:tcW w:w="295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pStyle w:val="Titre1"/>
              <w:jc w:val="center"/>
              <w:rPr>
                <w:caps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791C93" w:rsidRPr="00282C8D">
              <w:rPr>
                <w:noProof/>
                <w:sz w:val="20"/>
                <w:szCs w:val="20"/>
              </w:rPr>
              <w:drawing>
                <wp:inline distT="0" distB="0" distL="0" distR="0">
                  <wp:extent cx="1486535" cy="417830"/>
                  <wp:effectExtent l="0" t="0" r="0" b="0"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41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b/>
                <w:bCs/>
                <w:caps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b/>
                <w:bCs/>
                <w:caps/>
                <w:color w:val="0000FF"/>
                <w:sz w:val="20"/>
                <w:szCs w:val="20"/>
              </w:rPr>
              <w:t>projet expÉrimental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caps/>
                <w:color w:val="0000FF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caps/>
                <w:color w:val="0000FF"/>
                <w:sz w:val="20"/>
                <w:szCs w:val="20"/>
              </w:rPr>
              <w:t>n°</w:t>
            </w:r>
          </w:p>
        </w:tc>
        <w:tc>
          <w:tcPr>
            <w:tcW w:w="176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791C93" w:rsidP="00505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C8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90600" cy="4667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C8D" w:rsidRPr="00282C8D" w:rsidTr="00505586">
        <w:trPr>
          <w:cantSplit/>
          <w:jc w:val="center"/>
        </w:trPr>
        <w:tc>
          <w:tcPr>
            <w:tcW w:w="295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Utilisation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des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installations et appareils</w:t>
            </w:r>
          </w:p>
        </w:tc>
        <w:tc>
          <w:tcPr>
            <w:tcW w:w="450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Plateforme mutualisée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de Culture Cellulaire</w:t>
            </w:r>
          </w:p>
        </w:tc>
        <w:tc>
          <w:tcPr>
            <w:tcW w:w="176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Version 002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>(nov. 2012)</w:t>
            </w:r>
          </w:p>
          <w:p w:rsidR="00282C8D" w:rsidRPr="00282C8D" w:rsidRDefault="00282C8D" w:rsidP="0050558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 xml:space="preserve">Joël </w:t>
            </w:r>
            <w:proofErr w:type="spellStart"/>
            <w:r w:rsidRPr="00282C8D">
              <w:rPr>
                <w:rFonts w:ascii="Comic Sans MS" w:hAnsi="Comic Sans MS" w:cs="Arial"/>
                <w:sz w:val="20"/>
                <w:szCs w:val="20"/>
              </w:rPr>
              <w:t>Tardivel</w:t>
            </w:r>
            <w:proofErr w:type="spellEnd"/>
            <w:r w:rsidRPr="00282C8D">
              <w:rPr>
                <w:rFonts w:ascii="Comic Sans MS" w:hAnsi="Comic Sans MS" w:cs="Arial"/>
                <w:sz w:val="20"/>
                <w:szCs w:val="20"/>
              </w:rPr>
              <w:t>-Lacombe</w:t>
            </w:r>
          </w:p>
          <w:p w:rsidR="00282C8D" w:rsidRPr="00282C8D" w:rsidRDefault="00282C8D" w:rsidP="00505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sz w:val="20"/>
                <w:szCs w:val="20"/>
              </w:rPr>
              <w:t xml:space="preserve">Laurence </w:t>
            </w:r>
            <w:proofErr w:type="spellStart"/>
            <w:r w:rsidRPr="00282C8D">
              <w:rPr>
                <w:rFonts w:ascii="Comic Sans MS" w:hAnsi="Comic Sans MS" w:cs="Arial"/>
                <w:sz w:val="20"/>
                <w:szCs w:val="20"/>
              </w:rPr>
              <w:t>Borge</w:t>
            </w:r>
            <w:proofErr w:type="spellEnd"/>
          </w:p>
        </w:tc>
      </w:tr>
    </w:tbl>
    <w:p w:rsidR="00282C8D" w:rsidRPr="00282C8D" w:rsidRDefault="00282C8D" w:rsidP="00282C8D">
      <w:pPr>
        <w:pStyle w:val="Corpsdetexte"/>
        <w:rPr>
          <w:sz w:val="20"/>
          <w:szCs w:val="20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42"/>
      </w:tblGrid>
      <w:tr w:rsidR="00282C8D" w:rsidRPr="00282C8D" w:rsidTr="00505586">
        <w:trPr>
          <w:jc w:val="center"/>
        </w:trPr>
        <w:tc>
          <w:tcPr>
            <w:tcW w:w="9212" w:type="dxa"/>
            <w:gridSpan w:val="2"/>
          </w:tcPr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bookmarkStart w:id="1" w:name="_Hlt535911219"/>
            <w:bookmarkStart w:id="2" w:name="Plan"/>
            <w:bookmarkEnd w:id="1"/>
            <w:r w:rsidRPr="00282C8D">
              <w:rPr>
                <w:rFonts w:ascii="Arial" w:hAnsi="Arial" w:cs="Arial"/>
                <w:sz w:val="20"/>
                <w:szCs w:val="20"/>
              </w:rPr>
              <w:t>Formation de recherche :</w:t>
            </w:r>
          </w:p>
          <w:bookmarkEnd w:id="2"/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282C8D">
              <w:rPr>
                <w:rFonts w:ascii="Arial" w:hAnsi="Arial" w:cs="Arial"/>
                <w:sz w:val="20"/>
                <w:szCs w:val="20"/>
              </w:rPr>
              <w:t>Équipe :</w:t>
            </w:r>
          </w:p>
        </w:tc>
      </w:tr>
      <w:tr w:rsidR="00282C8D" w:rsidRPr="00282C8D" w:rsidTr="00505586">
        <w:trPr>
          <w:jc w:val="center"/>
        </w:trPr>
        <w:tc>
          <w:tcPr>
            <w:tcW w:w="3670" w:type="dxa"/>
          </w:tcPr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282C8D">
              <w:rPr>
                <w:rFonts w:ascii="Arial" w:hAnsi="Arial" w:cs="Arial"/>
                <w:sz w:val="20"/>
                <w:szCs w:val="20"/>
              </w:rPr>
              <w:t>Noms et visa du responsable du projet et de l’expérimentateur</w:t>
            </w:r>
          </w:p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</w:tcPr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Comic Sans MS" w:hAnsi="Comic Sans MS" w:cs="Arial"/>
          <w:b/>
          <w:bCs/>
          <w:caps/>
          <w:color w:val="000080"/>
          <w:sz w:val="20"/>
          <w:szCs w:val="20"/>
        </w:rPr>
      </w:pPr>
      <w:r w:rsidRPr="00282C8D">
        <w:rPr>
          <w:rFonts w:ascii="Comic Sans MS" w:hAnsi="Comic Sans MS" w:cs="Arial"/>
          <w:b/>
          <w:bCs/>
          <w:caps/>
          <w:color w:val="000080"/>
          <w:sz w:val="20"/>
          <w:szCs w:val="20"/>
          <w:u w:val="single"/>
        </w:rPr>
        <w:t>titre du projet</w:t>
      </w:r>
      <w:r w:rsidRPr="00282C8D">
        <w:rPr>
          <w:rFonts w:ascii="Comic Sans MS" w:hAnsi="Comic Sans MS" w:cs="Arial"/>
          <w:b/>
          <w:bCs/>
          <w:caps/>
          <w:color w:val="000080"/>
          <w:sz w:val="20"/>
          <w:szCs w:val="20"/>
        </w:rPr>
        <w:t> :</w:t>
      </w: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Comic Sans MS" w:hAnsi="Comic Sans MS" w:cs="Arial"/>
          <w:b/>
          <w:bCs/>
          <w:caps/>
          <w:color w:val="000080"/>
          <w:sz w:val="20"/>
          <w:szCs w:val="20"/>
        </w:rPr>
      </w:pPr>
      <w:r w:rsidRPr="00282C8D">
        <w:rPr>
          <w:rFonts w:ascii="Comic Sans MS" w:hAnsi="Comic Sans MS" w:cs="Arial"/>
          <w:b/>
          <w:bCs/>
          <w:caps/>
          <w:color w:val="000080"/>
          <w:sz w:val="20"/>
          <w:szCs w:val="20"/>
        </w:rPr>
        <w:t>rÉsumÉ des principales Étapes expÉrimentales du projet :</w:t>
      </w: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  <w:bookmarkStart w:id="3" w:name="_Hlt8114271"/>
      <w:bookmarkEnd w:id="3"/>
    </w:p>
    <w:p w:rsidR="00282C8D" w:rsidRPr="00282C8D" w:rsidRDefault="00282C8D" w:rsidP="00282C8D">
      <w:pPr>
        <w:pStyle w:val="Corpsdetexte"/>
        <w:rPr>
          <w:rFonts w:ascii="Comic Sans MS" w:hAnsi="Comic Sans MS" w:cs="Arial"/>
          <w:b/>
          <w:bCs/>
          <w:caps/>
          <w:color w:val="000080"/>
          <w:sz w:val="20"/>
          <w:szCs w:val="20"/>
        </w:rPr>
      </w:pPr>
      <w:r w:rsidRPr="00282C8D">
        <w:rPr>
          <w:rFonts w:ascii="Comic Sans MS" w:hAnsi="Comic Sans MS" w:cs="Arial"/>
          <w:b/>
          <w:bCs/>
          <w:caps/>
          <w:color w:val="000080"/>
          <w:sz w:val="20"/>
          <w:szCs w:val="20"/>
        </w:rPr>
        <w:t>plan expÉrimental annotÉ de l’identification des risques concernant la Plateforme :</w:t>
      </w:r>
    </w:p>
    <w:p w:rsidR="00282C8D" w:rsidRPr="00282C8D" w:rsidRDefault="004B7011" w:rsidP="00282C8D">
      <w:pPr>
        <w:pStyle w:val="Corpsdetexte"/>
        <w:rPr>
          <w:rFonts w:ascii="Arial" w:hAnsi="Arial" w:cs="Arial"/>
          <w:b/>
          <w:bCs/>
          <w:smallCaps/>
          <w:color w:val="80008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Group 3" o:spid="_x0000_s1026" style="position:absolute;left:0;text-align:left;margin-left:45pt;margin-top:12.55pt;width:414.6pt;height:81pt;z-index:251657216" coordorigin="1440,7776" coordsize="829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1440;top:7776;width:172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textbox>
                <w:txbxContent>
                  <w:p w:rsidR="00282C8D" w:rsidRPr="00E90FFA" w:rsidRDefault="00282C8D" w:rsidP="00282C8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line id="Line 5" o:spid="_x0000_s1028" style="position:absolute;visibility:visible;mso-wrap-style:square" from="3168,8208" to="3600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v:shape id="Text Box 6" o:spid="_x0000_s1029" type="#_x0000_t202" style="position:absolute;left:3600;top:7776;width:172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282C8D" w:rsidRPr="00E90FFA" w:rsidRDefault="00282C8D" w:rsidP="00282C8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Text Box 7" o:spid="_x0000_s1030" type="#_x0000_t202" style="position:absolute;left:5832;top:7788;width:172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282C8D" w:rsidRPr="00E90FFA" w:rsidRDefault="00282C8D" w:rsidP="00282C8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line id="Line 8" o:spid="_x0000_s1031" style="position:absolute;visibility:visible;mso-wrap-style:square" from="7572,8218" to="8004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<v:shape id="Text Box 9" o:spid="_x0000_s1032" type="#_x0000_t202" style="position:absolute;left:8004;top:7776;width:172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<v:textbox>
                <w:txbxContent>
                  <w:p w:rsidR="00282C8D" w:rsidRPr="00E90FFA" w:rsidRDefault="00282C8D" w:rsidP="00282C8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line id="Line 10" o:spid="_x0000_s1033" style="position:absolute;visibility:visible;mso-wrap-style:square" from="5328,8208" to="5856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</v:group>
        </w:pict>
      </w: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b/>
          <w:bCs/>
          <w:sz w:val="20"/>
          <w:szCs w:val="20"/>
        </w:rPr>
      </w:pPr>
    </w:p>
    <w:p w:rsidR="00282C8D" w:rsidRPr="00282C8D" w:rsidRDefault="00282C8D" w:rsidP="00282C8D">
      <w:pPr>
        <w:pStyle w:val="Corpsdetexte"/>
        <w:rPr>
          <w:b/>
          <w:bCs/>
          <w:color w:val="FF0000"/>
          <w:sz w:val="20"/>
          <w:szCs w:val="20"/>
          <w:u w:val="single"/>
        </w:rPr>
      </w:pPr>
    </w:p>
    <w:p w:rsidR="00282C8D" w:rsidRPr="00282C8D" w:rsidRDefault="00282C8D" w:rsidP="00282C8D">
      <w:pPr>
        <w:pStyle w:val="Corpsdetexte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82C8D">
        <w:rPr>
          <w:rFonts w:ascii="Arial" w:hAnsi="Arial" w:cs="Arial"/>
          <w:b/>
          <w:bCs/>
          <w:color w:val="FF0000"/>
          <w:sz w:val="20"/>
          <w:szCs w:val="20"/>
        </w:rPr>
        <w:t>Parties à renseigner obligatoirement</w:t>
      </w:r>
    </w:p>
    <w:tbl>
      <w:tblPr>
        <w:tblW w:w="0" w:type="auto"/>
        <w:jc w:val="center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6706"/>
      </w:tblGrid>
      <w:tr w:rsidR="00282C8D" w:rsidRPr="00282C8D" w:rsidTr="00505586">
        <w:trPr>
          <w:cantSplit/>
          <w:jc w:val="center"/>
        </w:trPr>
        <w:tc>
          <w:tcPr>
            <w:tcW w:w="9250" w:type="dxa"/>
            <w:gridSpan w:val="2"/>
            <w:tcBorders>
              <w:top w:val="single" w:sz="18" w:space="0" w:color="008000"/>
              <w:left w:val="single" w:sz="18" w:space="0" w:color="008000"/>
              <w:bottom w:val="nil"/>
              <w:right w:val="single" w:sz="18" w:space="0" w:color="008000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Comic Sans MS" w:hAnsi="Comic Sans MS" w:cs="Arial"/>
                <w:b/>
                <w:bCs/>
                <w:smallCaps/>
                <w:color w:val="0000FF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b/>
                <w:bCs/>
                <w:smallCaps/>
                <w:color w:val="0000FF"/>
                <w:sz w:val="20"/>
                <w:szCs w:val="20"/>
              </w:rPr>
              <w:t>Agents biologiques non OGM</w:t>
            </w:r>
          </w:p>
        </w:tc>
      </w:tr>
      <w:tr w:rsidR="00282C8D" w:rsidRPr="00282C8D" w:rsidTr="00505586">
        <w:trPr>
          <w:jc w:val="center"/>
        </w:trPr>
        <w:tc>
          <w:tcPr>
            <w:tcW w:w="2544" w:type="dxa"/>
            <w:tcBorders>
              <w:top w:val="nil"/>
              <w:left w:val="single" w:sz="18" w:space="0" w:color="008000"/>
              <w:bottom w:val="single" w:sz="18" w:space="0" w:color="008000"/>
              <w:right w:val="nil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Type d'agent biologique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18" w:space="0" w:color="008000"/>
              <w:right w:val="single" w:sz="18" w:space="0" w:color="008000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Origine, référence fournisseur, nom ou phénotype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Classe de risque  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1    2    3  </w:t>
            </w:r>
            <w:r w:rsidRPr="00282C8D">
              <w:rPr>
                <w:rFonts w:ascii="Arial" w:hAnsi="Arial" w:cs="Arial"/>
                <w:bCs/>
                <w:sz w:val="20"/>
                <w:szCs w:val="20"/>
              </w:rPr>
              <w:t>(entourer le numéro correspondant)</w:t>
            </w:r>
          </w:p>
        </w:tc>
      </w:tr>
    </w:tbl>
    <w:p w:rsidR="00282C8D" w:rsidRPr="00282C8D" w:rsidRDefault="00282C8D" w:rsidP="00282C8D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9"/>
        <w:gridCol w:w="4639"/>
      </w:tblGrid>
      <w:tr w:rsidR="00282C8D" w:rsidRPr="00282C8D" w:rsidTr="00505586">
        <w:trPr>
          <w:cantSplit/>
          <w:trHeight w:val="261"/>
          <w:jc w:val="center"/>
        </w:trPr>
        <w:tc>
          <w:tcPr>
            <w:tcW w:w="9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Comic Sans MS" w:hAnsi="Comic Sans MS" w:cs="Arial"/>
                <w:b/>
                <w:bCs/>
                <w:smallCaps/>
                <w:color w:val="0000FF"/>
                <w:sz w:val="20"/>
                <w:szCs w:val="20"/>
              </w:rPr>
            </w:pPr>
            <w:r w:rsidRPr="00282C8D">
              <w:rPr>
                <w:rFonts w:ascii="Comic Sans MS" w:hAnsi="Comic Sans MS" w:cs="Arial"/>
                <w:b/>
                <w:bCs/>
                <w:smallCaps/>
                <w:color w:val="0000FF"/>
                <w:sz w:val="20"/>
                <w:szCs w:val="20"/>
              </w:rPr>
              <w:t>Agents biologiques OGM</w:t>
            </w:r>
          </w:p>
        </w:tc>
      </w:tr>
      <w:tr w:rsidR="00282C8D" w:rsidRPr="00282C8D" w:rsidTr="00505586">
        <w:trPr>
          <w:trHeight w:val="539"/>
          <w:jc w:val="center"/>
        </w:trPr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Type d'agent biologique :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Nom ou Phénotype :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C8D" w:rsidRPr="00282C8D" w:rsidTr="00505586">
        <w:trPr>
          <w:trHeight w:val="800"/>
          <w:jc w:val="center"/>
        </w:trPr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Agrément OGM obtenu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Oui (copie à joindre)  </w:t>
            </w:r>
            <w:r w:rsidRPr="00282C8D">
              <w:rPr>
                <w:bCs/>
                <w:sz w:val="20"/>
                <w:szCs w:val="20"/>
              </w:rPr>
              <w:t xml:space="preserve">□     </w:t>
            </w: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Non  </w:t>
            </w:r>
            <w:r w:rsidRPr="00282C8D">
              <w:rPr>
                <w:bCs/>
                <w:sz w:val="20"/>
                <w:szCs w:val="20"/>
              </w:rPr>
              <w:t>□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Agrément OGM à demander</w:t>
            </w:r>
          </w:p>
          <w:p w:rsidR="00282C8D" w:rsidRPr="00282C8D" w:rsidRDefault="00282C8D" w:rsidP="00505586">
            <w:pPr>
              <w:pStyle w:val="Corpsdetexte"/>
              <w:rPr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Oui  </w:t>
            </w:r>
            <w:r w:rsidRPr="00282C8D">
              <w:rPr>
                <w:bCs/>
                <w:sz w:val="20"/>
                <w:szCs w:val="20"/>
              </w:rPr>
              <w:t>□</w:t>
            </w: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         Non  </w:t>
            </w:r>
            <w:r w:rsidRPr="00282C8D">
              <w:rPr>
                <w:bCs/>
                <w:sz w:val="20"/>
                <w:szCs w:val="20"/>
              </w:rPr>
              <w:t>□</w:t>
            </w:r>
          </w:p>
        </w:tc>
      </w:tr>
      <w:tr w:rsidR="00282C8D" w:rsidRPr="00282C8D" w:rsidTr="00505586">
        <w:trPr>
          <w:trHeight w:val="800"/>
          <w:jc w:val="center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t583929"/>
            <w:bookmarkEnd w:id="4"/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Information du public effectuée</w:t>
            </w:r>
          </w:p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Oui (joindre l’accusé de la mairie) </w:t>
            </w:r>
            <w:r w:rsidRPr="00282C8D">
              <w:rPr>
                <w:bCs/>
                <w:sz w:val="20"/>
                <w:szCs w:val="20"/>
              </w:rPr>
              <w:t xml:space="preserve">□  </w:t>
            </w: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Non  </w:t>
            </w:r>
            <w:r w:rsidRPr="00282C8D">
              <w:rPr>
                <w:bCs/>
                <w:sz w:val="20"/>
                <w:szCs w:val="20"/>
              </w:rPr>
              <w:t>□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C8D" w:rsidRPr="00282C8D" w:rsidRDefault="00282C8D" w:rsidP="00505586">
            <w:pPr>
              <w:pStyle w:val="Corpsdetex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/>
                <w:bCs/>
                <w:sz w:val="20"/>
                <w:szCs w:val="20"/>
              </w:rPr>
              <w:t>Information du public à effectuer</w:t>
            </w:r>
          </w:p>
          <w:p w:rsidR="00282C8D" w:rsidRPr="00282C8D" w:rsidRDefault="00282C8D" w:rsidP="00505586">
            <w:pPr>
              <w:pStyle w:val="Corpsdetexte"/>
              <w:rPr>
                <w:rFonts w:ascii="Arial" w:hAnsi="Arial" w:cs="Arial"/>
                <w:bCs/>
                <w:sz w:val="20"/>
                <w:szCs w:val="20"/>
              </w:rPr>
            </w:pP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Oui  </w:t>
            </w:r>
            <w:r w:rsidRPr="00282C8D">
              <w:rPr>
                <w:bCs/>
                <w:sz w:val="20"/>
                <w:szCs w:val="20"/>
              </w:rPr>
              <w:t>□</w:t>
            </w:r>
            <w:r w:rsidRPr="00282C8D">
              <w:rPr>
                <w:rFonts w:ascii="Arial" w:hAnsi="Arial" w:cs="Arial"/>
                <w:bCs/>
                <w:sz w:val="20"/>
                <w:szCs w:val="20"/>
              </w:rPr>
              <w:t xml:space="preserve">         Non  </w:t>
            </w:r>
            <w:r w:rsidRPr="00282C8D">
              <w:rPr>
                <w:bCs/>
                <w:sz w:val="20"/>
                <w:szCs w:val="20"/>
              </w:rPr>
              <w:t>□</w:t>
            </w:r>
          </w:p>
        </w:tc>
      </w:tr>
    </w:tbl>
    <w:p w:rsidR="00282C8D" w:rsidRPr="00816C22" w:rsidRDefault="00282C8D" w:rsidP="00282C8D">
      <w:pPr>
        <w:jc w:val="center"/>
        <w:rPr>
          <w:rFonts w:ascii="Arial" w:hAnsi="Arial" w:cs="Arial"/>
        </w:rPr>
      </w:pPr>
      <w:proofErr w:type="gramStart"/>
      <w:r w:rsidRPr="003F090D">
        <w:rPr>
          <w:rFonts w:ascii="Comic Sans MS" w:hAnsi="Comic Sans MS"/>
          <w:sz w:val="16"/>
          <w:szCs w:val="16"/>
        </w:rPr>
        <w:t>en</w:t>
      </w:r>
      <w:proofErr w:type="gramEnd"/>
      <w:r w:rsidRPr="003F090D">
        <w:rPr>
          <w:rFonts w:ascii="Comic Sans MS" w:hAnsi="Comic Sans MS"/>
          <w:sz w:val="16"/>
          <w:szCs w:val="16"/>
        </w:rPr>
        <w:t xml:space="preserve"> cas de besoin, faite</w:t>
      </w:r>
      <w:r>
        <w:rPr>
          <w:rFonts w:ascii="Comic Sans MS" w:hAnsi="Comic Sans MS"/>
          <w:sz w:val="16"/>
          <w:szCs w:val="16"/>
        </w:rPr>
        <w:t>s-vous aider par le Responsable</w:t>
      </w:r>
      <w:r w:rsidRPr="003F090D">
        <w:rPr>
          <w:rFonts w:ascii="Comic Sans MS" w:hAnsi="Comic Sans MS"/>
          <w:sz w:val="16"/>
          <w:szCs w:val="16"/>
        </w:rPr>
        <w:t xml:space="preserve"> de la Plateforme</w:t>
      </w:r>
    </w:p>
    <w:p w:rsidR="00282C8D" w:rsidRPr="00816C22" w:rsidRDefault="00282C8D" w:rsidP="00282C8D">
      <w:pPr>
        <w:jc w:val="center"/>
        <w:rPr>
          <w:rFonts w:ascii="Arial" w:hAnsi="Arial" w:cs="Arial"/>
        </w:rPr>
      </w:pPr>
    </w:p>
    <w:sectPr w:rsidR="00282C8D" w:rsidRPr="00816C22" w:rsidSect="00BE00FC">
      <w:footerReference w:type="even" r:id="rId10"/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011" w:rsidRDefault="004B7011">
      <w:r>
        <w:separator/>
      </w:r>
    </w:p>
  </w:endnote>
  <w:endnote w:type="continuationSeparator" w:id="0">
    <w:p w:rsidR="004B7011" w:rsidRDefault="004B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il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CC" w:rsidRDefault="00E51C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717C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17CC">
      <w:rPr>
        <w:rStyle w:val="Numrodepage"/>
        <w:noProof/>
      </w:rPr>
      <w:t>5</w:t>
    </w:r>
    <w:r>
      <w:rPr>
        <w:rStyle w:val="Numrodepage"/>
      </w:rPr>
      <w:fldChar w:fldCharType="end"/>
    </w:r>
  </w:p>
  <w:p w:rsidR="004717CC" w:rsidRDefault="004717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CC" w:rsidRDefault="00E51C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717C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431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717CC" w:rsidRDefault="004717CC">
    <w:pPr>
      <w:pStyle w:val="Pieddepage"/>
      <w:ind w:right="360"/>
      <w:rPr>
        <w:rFonts w:ascii="Arial" w:hAnsi="Arial" w:cs="Arial"/>
        <w:sz w:val="16"/>
        <w:szCs w:val="16"/>
      </w:rPr>
    </w:pPr>
    <w:r w:rsidRPr="006418D0">
      <w:rPr>
        <w:rFonts w:ascii="Arial" w:hAnsi="Arial" w:cs="Arial"/>
        <w:sz w:val="16"/>
        <w:szCs w:val="16"/>
      </w:rPr>
      <w:t xml:space="preserve">Règlement </w:t>
    </w:r>
    <w:r>
      <w:rPr>
        <w:rFonts w:ascii="Arial" w:hAnsi="Arial" w:cs="Arial"/>
        <w:sz w:val="16"/>
        <w:szCs w:val="16"/>
      </w:rPr>
      <w:t xml:space="preserve">intérieur </w:t>
    </w:r>
  </w:p>
  <w:p w:rsidR="004717CC" w:rsidRPr="006418D0" w:rsidRDefault="004717CC">
    <w:pPr>
      <w:pStyle w:val="Pieddepag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Plateforme </w:t>
    </w:r>
    <w:r w:rsidRPr="006418D0">
      <w:rPr>
        <w:rFonts w:ascii="Arial" w:hAnsi="Arial" w:cs="Arial"/>
        <w:sz w:val="16"/>
        <w:szCs w:val="16"/>
      </w:rPr>
      <w:t>Culture Cellulaire</w:t>
    </w:r>
    <w:r>
      <w:rPr>
        <w:rFonts w:ascii="Arial" w:hAnsi="Arial" w:cs="Arial"/>
        <w:sz w:val="16"/>
        <w:szCs w:val="16"/>
      </w:rPr>
      <w:tab/>
      <w:t>version 0</w:t>
    </w:r>
    <w:r w:rsidR="00171C1E">
      <w:rPr>
        <w:rFonts w:ascii="Arial" w:hAnsi="Arial" w:cs="Arial"/>
        <w:sz w:val="16"/>
        <w:szCs w:val="16"/>
      </w:rPr>
      <w:t>3</w:t>
    </w:r>
    <w:r w:rsidRPr="006418D0">
      <w:rPr>
        <w:rFonts w:ascii="Arial" w:hAnsi="Arial" w:cs="Arial"/>
        <w:sz w:val="16"/>
        <w:szCs w:val="16"/>
      </w:rPr>
      <w:tab/>
    </w:r>
    <w:r w:rsidR="00E51CA8" w:rsidRPr="006418D0">
      <w:rPr>
        <w:rFonts w:ascii="Arial" w:hAnsi="Arial" w:cs="Arial"/>
        <w:sz w:val="16"/>
        <w:szCs w:val="16"/>
      </w:rPr>
      <w:fldChar w:fldCharType="begin"/>
    </w:r>
    <w:r w:rsidRPr="006418D0">
      <w:rPr>
        <w:rFonts w:ascii="Arial" w:hAnsi="Arial" w:cs="Arial"/>
        <w:sz w:val="16"/>
        <w:szCs w:val="16"/>
      </w:rPr>
      <w:instrText xml:space="preserve"> DATE \@ "dd/MM/yyyy" </w:instrText>
    </w:r>
    <w:r w:rsidR="00E51CA8" w:rsidRPr="006418D0">
      <w:rPr>
        <w:rFonts w:ascii="Arial" w:hAnsi="Arial" w:cs="Arial"/>
        <w:sz w:val="16"/>
        <w:szCs w:val="16"/>
      </w:rPr>
      <w:fldChar w:fldCharType="separate"/>
    </w:r>
    <w:r w:rsidR="00EF74AB">
      <w:rPr>
        <w:rFonts w:ascii="Arial" w:hAnsi="Arial" w:cs="Arial"/>
        <w:noProof/>
        <w:sz w:val="16"/>
        <w:szCs w:val="16"/>
      </w:rPr>
      <w:t>04/10/2022</w:t>
    </w:r>
    <w:r w:rsidR="00E51CA8" w:rsidRPr="006418D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011" w:rsidRDefault="004B7011">
      <w:r>
        <w:separator/>
      </w:r>
    </w:p>
  </w:footnote>
  <w:footnote w:type="continuationSeparator" w:id="0">
    <w:p w:rsidR="004B7011" w:rsidRDefault="004B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2512D"/>
    <w:multiLevelType w:val="singleLevel"/>
    <w:tmpl w:val="E2F434A4"/>
    <w:lvl w:ilvl="0">
      <w:start w:val="1"/>
      <w:numFmt w:val="bullet"/>
      <w:lvlText w:val=""/>
      <w:lvlJc w:val="left"/>
      <w:pPr>
        <w:tabs>
          <w:tab w:val="num" w:pos="473"/>
        </w:tabs>
        <w:ind w:left="170" w:hanging="57"/>
      </w:pPr>
      <w:rPr>
        <w:rFonts w:ascii="Wingdings" w:hAnsi="Wingdings" w:cs="Times New Roman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BB"/>
    <w:rsid w:val="00032D53"/>
    <w:rsid w:val="00040C39"/>
    <w:rsid w:val="00050ED5"/>
    <w:rsid w:val="000759E2"/>
    <w:rsid w:val="00092CBA"/>
    <w:rsid w:val="000E0E25"/>
    <w:rsid w:val="00171C1E"/>
    <w:rsid w:val="001929E4"/>
    <w:rsid w:val="001A09B5"/>
    <w:rsid w:val="001B3AFE"/>
    <w:rsid w:val="001B655C"/>
    <w:rsid w:val="001E54BB"/>
    <w:rsid w:val="001F0E4D"/>
    <w:rsid w:val="001F5D83"/>
    <w:rsid w:val="00237BC0"/>
    <w:rsid w:val="00257815"/>
    <w:rsid w:val="00282C8D"/>
    <w:rsid w:val="002A629B"/>
    <w:rsid w:val="002E5487"/>
    <w:rsid w:val="003C19CB"/>
    <w:rsid w:val="00417D84"/>
    <w:rsid w:val="0042231A"/>
    <w:rsid w:val="00434890"/>
    <w:rsid w:val="004570A6"/>
    <w:rsid w:val="00461865"/>
    <w:rsid w:val="00470548"/>
    <w:rsid w:val="004717CC"/>
    <w:rsid w:val="00484750"/>
    <w:rsid w:val="004A6A08"/>
    <w:rsid w:val="004B7011"/>
    <w:rsid w:val="004C3220"/>
    <w:rsid w:val="004F24FA"/>
    <w:rsid w:val="00505586"/>
    <w:rsid w:val="00514AFF"/>
    <w:rsid w:val="00526603"/>
    <w:rsid w:val="005646B9"/>
    <w:rsid w:val="00594866"/>
    <w:rsid w:val="0061263F"/>
    <w:rsid w:val="00631357"/>
    <w:rsid w:val="00637887"/>
    <w:rsid w:val="006418D0"/>
    <w:rsid w:val="00674C27"/>
    <w:rsid w:val="006852FD"/>
    <w:rsid w:val="006C6532"/>
    <w:rsid w:val="006D0DE1"/>
    <w:rsid w:val="006E4303"/>
    <w:rsid w:val="006F5A33"/>
    <w:rsid w:val="00753179"/>
    <w:rsid w:val="00791C93"/>
    <w:rsid w:val="007C01F2"/>
    <w:rsid w:val="00816C22"/>
    <w:rsid w:val="00844281"/>
    <w:rsid w:val="00857515"/>
    <w:rsid w:val="0089207C"/>
    <w:rsid w:val="008A4319"/>
    <w:rsid w:val="008B16E6"/>
    <w:rsid w:val="008C7BF3"/>
    <w:rsid w:val="00953AB4"/>
    <w:rsid w:val="00A043DB"/>
    <w:rsid w:val="00A05A6E"/>
    <w:rsid w:val="00A16A4C"/>
    <w:rsid w:val="00AB20D7"/>
    <w:rsid w:val="00AC16A6"/>
    <w:rsid w:val="00B3744F"/>
    <w:rsid w:val="00B5442B"/>
    <w:rsid w:val="00B830A1"/>
    <w:rsid w:val="00B92FA3"/>
    <w:rsid w:val="00BC461C"/>
    <w:rsid w:val="00BE00FC"/>
    <w:rsid w:val="00C246C6"/>
    <w:rsid w:val="00C52612"/>
    <w:rsid w:val="00C75AAD"/>
    <w:rsid w:val="00CF1421"/>
    <w:rsid w:val="00CF570D"/>
    <w:rsid w:val="00D54307"/>
    <w:rsid w:val="00DA0AEB"/>
    <w:rsid w:val="00DB7DBF"/>
    <w:rsid w:val="00DC073F"/>
    <w:rsid w:val="00DD0E85"/>
    <w:rsid w:val="00DD626B"/>
    <w:rsid w:val="00E161A7"/>
    <w:rsid w:val="00E51CA8"/>
    <w:rsid w:val="00E56D19"/>
    <w:rsid w:val="00E742AC"/>
    <w:rsid w:val="00EA1B55"/>
    <w:rsid w:val="00EF74AB"/>
    <w:rsid w:val="00F3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  <w14:docId w14:val="66D10F7E"/>
  <w15:docId w15:val="{992D5FA3-4E75-4CD1-A92E-459D2F0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1CA8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51CA8"/>
    <w:pPr>
      <w:keepNext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51CA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51CA8"/>
  </w:style>
  <w:style w:type="paragraph" w:styleId="Corpsdetexte">
    <w:name w:val="Body Text"/>
    <w:basedOn w:val="Normal"/>
    <w:rsid w:val="00E51CA8"/>
    <w:pPr>
      <w:jc w:val="both"/>
    </w:pPr>
  </w:style>
  <w:style w:type="paragraph" w:styleId="Retraitcorpsdetexte">
    <w:name w:val="Body Text Indent"/>
    <w:basedOn w:val="Normal"/>
    <w:rsid w:val="00E51CA8"/>
    <w:pPr>
      <w:autoSpaceDE w:val="0"/>
      <w:autoSpaceDN w:val="0"/>
      <w:spacing w:line="360" w:lineRule="atLeast"/>
      <w:jc w:val="both"/>
    </w:pPr>
    <w:rPr>
      <w:rFonts w:ascii="Textile" w:hAnsi="Textile"/>
    </w:rPr>
  </w:style>
  <w:style w:type="character" w:styleId="Lienhypertexte">
    <w:name w:val="Hyperlink"/>
    <w:rsid w:val="00DD626B"/>
    <w:rPr>
      <w:color w:val="0000FF"/>
      <w:u w:val="single"/>
    </w:rPr>
  </w:style>
  <w:style w:type="paragraph" w:styleId="En-tte">
    <w:name w:val="header"/>
    <w:basedOn w:val="Normal"/>
    <w:rsid w:val="00A16A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920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7D8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Mentionnonrsolue1">
    <w:name w:val="Mention non résolue1"/>
    <w:uiPriority w:val="99"/>
    <w:semiHidden/>
    <w:unhideWhenUsed/>
    <w:rsid w:val="00417D8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2231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U624</dc:creator>
  <cp:lastModifiedBy>Thi Tien Nguyen</cp:lastModifiedBy>
  <cp:revision>6</cp:revision>
  <cp:lastPrinted>2022-10-04T11:41:00Z</cp:lastPrinted>
  <dcterms:created xsi:type="dcterms:W3CDTF">2020-09-02T11:05:00Z</dcterms:created>
  <dcterms:modified xsi:type="dcterms:W3CDTF">2022-10-04T11:45:00Z</dcterms:modified>
</cp:coreProperties>
</file>